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metadata/core-properties" Target="docProps/core0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016" w:type="dxa"/>
        <w:tblInd w:w="-103" w:type="dxa"/>
        <w:tblLayout w:type="fixed"/>
        <w:tblLook w:val="0000" w:firstRow="0" w:lastRow="0" w:firstColumn="0" w:lastColumn="0" w:noHBand="0" w:noVBand="0"/>
      </w:tblPr>
      <w:tblGrid>
        <w:gridCol w:w="4104"/>
        <w:gridCol w:w="4912"/>
      </w:tblGrid>
      <w:tr w:rsidR="00A137A2" w14:paraId="311BC725" w14:textId="77777777">
        <w:trPr>
          <w:trHeight w:val="452"/>
          <w:tblHeader/>
        </w:trPr>
        <w:tc>
          <w:tcPr>
            <w:tcW w:w="90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F0A81A0" w14:textId="3A99721A" w:rsidR="00A137A2" w:rsidRDefault="008A2625">
            <w:pPr>
              <w:pStyle w:val="StandardWW"/>
              <w:spacing w:after="0" w:line="240" w:lineRule="auto"/>
              <w:textAlignment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Beretning om </w:t>
            </w:r>
            <w:r w:rsidR="005C35D0">
              <w:rPr>
                <w:rFonts w:ascii="Calibri" w:hAnsi="Calibri" w:cs="Calibri"/>
                <w:b/>
                <w:bCs/>
                <w:sz w:val="24"/>
                <w:szCs w:val="24"/>
              </w:rPr>
              <w:t>w</w:t>
            </w: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histlebloweraktivitet for året 202</w:t>
            </w:r>
            <w:r w:rsidR="00D73525">
              <w:rPr>
                <w:rFonts w:ascii="Calibri" w:hAnsi="Calibri" w:cs="Calibri"/>
                <w:b/>
                <w:bCs/>
                <w:sz w:val="24"/>
                <w:szCs w:val="24"/>
              </w:rPr>
              <w:t>5</w:t>
            </w:r>
          </w:p>
        </w:tc>
      </w:tr>
      <w:tr w:rsidR="00A137A2" w14:paraId="4171DBE8" w14:textId="77777777">
        <w:tc>
          <w:tcPr>
            <w:tcW w:w="4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B39F20" w14:textId="77777777" w:rsidR="00A137A2" w:rsidRDefault="008A2625">
            <w:pPr>
              <w:pStyle w:val="StandardWW"/>
              <w:spacing w:after="0" w:line="240" w:lineRule="auto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Organisationens navn og CVR</w:t>
            </w:r>
          </w:p>
        </w:tc>
        <w:tc>
          <w:tcPr>
            <w:tcW w:w="4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C4972" w14:textId="77777777" w:rsidR="00A137A2" w:rsidRDefault="00DD62C6">
            <w:pPr>
              <w:pStyle w:val="StandardWW"/>
              <w:spacing w:after="0" w:line="240" w:lineRule="auto"/>
              <w:rPr>
                <w:rFonts w:ascii="Calibri" w:hAnsi="Calibri" w:cs="Calibri"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Cs/>
                <w:sz w:val="24"/>
                <w:szCs w:val="24"/>
              </w:rPr>
              <w:t>Styrelsen for Patientsikkerhed</w:t>
            </w:r>
          </w:p>
          <w:p w14:paraId="2DCA6472" w14:textId="77777777" w:rsidR="00A137A2" w:rsidRDefault="00DD62C6">
            <w:pPr>
              <w:pStyle w:val="StandardWW"/>
              <w:spacing w:after="0" w:line="240" w:lineRule="auto"/>
              <w:rPr>
                <w:rFonts w:ascii="Calibri" w:hAnsi="Calibri" w:cs="Calibri"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Cs/>
                <w:sz w:val="24"/>
                <w:szCs w:val="24"/>
              </w:rPr>
              <w:t>Islands Brygge 67</w:t>
            </w:r>
          </w:p>
          <w:p w14:paraId="487C2E93" w14:textId="77777777" w:rsidR="00A137A2" w:rsidRDefault="00DD62C6">
            <w:pPr>
              <w:pStyle w:val="StandardWW"/>
              <w:spacing w:after="0" w:line="240" w:lineRule="auto"/>
              <w:rPr>
                <w:rFonts w:ascii="Calibri" w:hAnsi="Calibri" w:cs="Calibri"/>
                <w:bCs/>
                <w:sz w:val="24"/>
                <w:szCs w:val="24"/>
              </w:rPr>
            </w:pPr>
            <w:r w:rsidRPr="00DD62C6">
              <w:rPr>
                <w:rFonts w:ascii="Calibri" w:hAnsi="Calibri" w:cs="Calibri"/>
                <w:bCs/>
                <w:sz w:val="24"/>
                <w:szCs w:val="24"/>
              </w:rPr>
              <w:t>2300 København S</w:t>
            </w:r>
          </w:p>
          <w:p w14:paraId="5F1389FA" w14:textId="77777777" w:rsidR="00A137A2" w:rsidRPr="00DD62C6" w:rsidRDefault="00DD62C6">
            <w:pPr>
              <w:pStyle w:val="StandardWW"/>
              <w:spacing w:after="0" w:line="240" w:lineRule="auto"/>
              <w:rPr>
                <w:rFonts w:ascii="Calibri" w:hAnsi="Calibri" w:cs="Calibri"/>
                <w:bCs/>
                <w:sz w:val="24"/>
                <w:szCs w:val="24"/>
              </w:rPr>
            </w:pPr>
            <w:r w:rsidRPr="00DD62C6">
              <w:rPr>
                <w:rFonts w:ascii="Calibri" w:hAnsi="Calibri" w:cs="Calibri"/>
                <w:bCs/>
                <w:sz w:val="24"/>
                <w:szCs w:val="24"/>
              </w:rPr>
              <w:t>CVR: 37105562</w:t>
            </w:r>
          </w:p>
          <w:p w14:paraId="0BA12E17" w14:textId="77777777" w:rsidR="00A137A2" w:rsidRDefault="00A137A2" w:rsidP="00DD62C6">
            <w:pPr>
              <w:pStyle w:val="StandardWW"/>
              <w:spacing w:after="0" w:line="240" w:lineRule="auto"/>
              <w:rPr>
                <w:rFonts w:ascii="Calibri" w:hAnsi="Calibri"/>
                <w:sz w:val="24"/>
                <w:szCs w:val="24"/>
              </w:rPr>
            </w:pPr>
          </w:p>
        </w:tc>
      </w:tr>
      <w:tr w:rsidR="00A137A2" w14:paraId="62B7D200" w14:textId="77777777">
        <w:tc>
          <w:tcPr>
            <w:tcW w:w="90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0E2BEC" w14:textId="77777777" w:rsidR="00A137A2" w:rsidRDefault="008A2625">
            <w:pPr>
              <w:pStyle w:val="StandardWW"/>
              <w:spacing w:after="0" w:line="240" w:lineRule="auto"/>
            </w:pPr>
            <w:r>
              <w:rPr>
                <w:rFonts w:ascii="Calibri" w:eastAsia="Times New Roman" w:hAnsi="Calibri" w:cs="Calibri"/>
                <w:color w:val="000000"/>
                <w:spacing w:val="4"/>
                <w:sz w:val="24"/>
                <w:szCs w:val="24"/>
                <w:lang w:eastAsia="da-DK"/>
              </w:rPr>
              <w:t xml:space="preserve">Beretningen er underlagt bl.a. de særlige tavshedspligtsbestemmelser i § 25 i </w:t>
            </w:r>
            <w:r>
              <w:rPr>
                <w:rFonts w:ascii="Calibri" w:eastAsia="Times New Roman" w:hAnsi="Calibri" w:cs="Calibri"/>
                <w:i/>
                <w:iCs/>
                <w:color w:val="000000"/>
                <w:spacing w:val="4"/>
                <w:sz w:val="24"/>
                <w:szCs w:val="24"/>
                <w:lang w:eastAsia="da-DK"/>
              </w:rPr>
              <w:t>Lov om beskyttelse af whistleblowere</w:t>
            </w:r>
            <w:r>
              <w:rPr>
                <w:rFonts w:ascii="Calibri" w:eastAsia="Times New Roman" w:hAnsi="Calibri" w:cs="Calibri"/>
                <w:color w:val="000000"/>
                <w:spacing w:val="4"/>
                <w:sz w:val="24"/>
                <w:szCs w:val="24"/>
                <w:lang w:eastAsia="da-DK"/>
              </w:rPr>
              <w:t>. Beretningen er udformet således, at det ikke er muligt at identificere whistlebloweren, ligesom beretningen ikke indeholder nærmere oplysninger fra de enkelte indberetninger.</w:t>
            </w:r>
          </w:p>
        </w:tc>
      </w:tr>
    </w:tbl>
    <w:p w14:paraId="41003EF7" w14:textId="77777777" w:rsidR="00A137A2" w:rsidRDefault="00A137A2">
      <w:pPr>
        <w:pStyle w:val="StandardWW"/>
        <w:rPr>
          <w:rFonts w:ascii="Calibri" w:hAnsi="Calibri" w:cs="Times New Roman"/>
          <w:bCs/>
          <w:color w:val="2E74B5"/>
          <w:sz w:val="24"/>
          <w:szCs w:val="24"/>
        </w:rPr>
      </w:pPr>
    </w:p>
    <w:tbl>
      <w:tblPr>
        <w:tblW w:w="9018" w:type="dxa"/>
        <w:tblInd w:w="-115" w:type="dxa"/>
        <w:tblLayout w:type="fixed"/>
        <w:tblLook w:val="0000" w:firstRow="0" w:lastRow="0" w:firstColumn="0" w:lastColumn="0" w:noHBand="0" w:noVBand="0"/>
      </w:tblPr>
      <w:tblGrid>
        <w:gridCol w:w="2252"/>
        <w:gridCol w:w="2394"/>
        <w:gridCol w:w="2792"/>
        <w:gridCol w:w="388"/>
        <w:gridCol w:w="1192"/>
      </w:tblGrid>
      <w:tr w:rsidR="00A137A2" w14:paraId="7F4C5032" w14:textId="77777777">
        <w:trPr>
          <w:trHeight w:val="277"/>
          <w:tblHeader/>
        </w:trPr>
        <w:tc>
          <w:tcPr>
            <w:tcW w:w="90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17C51F6" w14:textId="77777777" w:rsidR="00A137A2" w:rsidRDefault="008A2625">
            <w:pPr>
              <w:pStyle w:val="TableContents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Omfang</w:t>
            </w:r>
          </w:p>
          <w:p w14:paraId="5961281A" w14:textId="77777777" w:rsidR="00A137A2" w:rsidRDefault="008A2625">
            <w:pPr>
              <w:pStyle w:val="TableContents"/>
              <w:rPr>
                <w:rFonts w:ascii="Calibri" w:hAnsi="Calibri" w:cs="Calibri"/>
                <w:i/>
                <w:iCs/>
                <w:sz w:val="24"/>
                <w:szCs w:val="24"/>
              </w:rPr>
            </w:pPr>
            <w:r>
              <w:rPr>
                <w:rFonts w:ascii="Calibri" w:hAnsi="Calibri" w:cs="Calibri"/>
                <w:i/>
                <w:iCs/>
                <w:sz w:val="24"/>
                <w:szCs w:val="24"/>
              </w:rPr>
              <w:t>Anfør periodens samlede antal sager i tabellen</w:t>
            </w:r>
          </w:p>
        </w:tc>
      </w:tr>
      <w:tr w:rsidR="00A137A2" w14:paraId="62C6F9A7" w14:textId="77777777" w:rsidTr="00903EEA">
        <w:tc>
          <w:tcPr>
            <w:tcW w:w="225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DAD9DCE" w14:textId="77777777" w:rsidR="00A137A2" w:rsidRDefault="008A2625" w:rsidP="00903EEA">
            <w:pPr>
              <w:pStyle w:val="TableContents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Periode start</w:t>
            </w:r>
          </w:p>
        </w:tc>
        <w:tc>
          <w:tcPr>
            <w:tcW w:w="239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88BA340" w14:textId="7FFC110F" w:rsidR="00A137A2" w:rsidRDefault="00615FB1">
            <w:pPr>
              <w:pStyle w:val="TableContents"/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20. december</w:t>
            </w:r>
            <w:r w:rsidR="00B1535A">
              <w:rPr>
                <w:rFonts w:ascii="Calibri" w:hAnsi="Calibri"/>
                <w:sz w:val="24"/>
                <w:szCs w:val="24"/>
              </w:rPr>
              <w:t xml:space="preserve"> 202</w:t>
            </w:r>
            <w:r>
              <w:rPr>
                <w:rFonts w:ascii="Calibri" w:hAnsi="Calibri"/>
                <w:sz w:val="24"/>
                <w:szCs w:val="24"/>
              </w:rPr>
              <w:t>4</w:t>
            </w:r>
          </w:p>
        </w:tc>
        <w:tc>
          <w:tcPr>
            <w:tcW w:w="279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002D007" w14:textId="77777777" w:rsidR="00A137A2" w:rsidRDefault="008A2625" w:rsidP="00903EEA">
            <w:pPr>
              <w:pStyle w:val="TableContents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Slut</w:t>
            </w:r>
          </w:p>
        </w:tc>
        <w:tc>
          <w:tcPr>
            <w:tcW w:w="158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6F36719" w14:textId="30375656" w:rsidR="00A137A2" w:rsidRDefault="00B45689">
            <w:pPr>
              <w:pStyle w:val="TableContents"/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18. december</w:t>
            </w:r>
            <w:r w:rsidR="00615FB1">
              <w:rPr>
                <w:rFonts w:ascii="Calibri" w:hAnsi="Calibri"/>
                <w:sz w:val="24"/>
                <w:szCs w:val="24"/>
              </w:rPr>
              <w:t xml:space="preserve"> 2025</w:t>
            </w:r>
          </w:p>
        </w:tc>
      </w:tr>
      <w:tr w:rsidR="00A137A2" w14:paraId="46CDC36E" w14:textId="77777777">
        <w:tc>
          <w:tcPr>
            <w:tcW w:w="7826" w:type="dxa"/>
            <w:gridSpan w:val="4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6647821" w14:textId="77777777" w:rsidR="00A137A2" w:rsidRDefault="008A2625">
            <w:pPr>
              <w:pStyle w:val="TableContents"/>
              <w:rPr>
                <w:rFonts w:ascii="Calibri" w:hAnsi="Calibri"/>
                <w:sz w:val="24"/>
                <w:szCs w:val="24"/>
              </w:rPr>
            </w:pPr>
            <w:bookmarkStart w:id="0" w:name="_Hlk212469774"/>
            <w:r>
              <w:rPr>
                <w:rFonts w:ascii="Calibri" w:hAnsi="Calibri"/>
                <w:sz w:val="24"/>
                <w:szCs w:val="24"/>
              </w:rPr>
              <w:t xml:space="preserve">Der har ingen </w:t>
            </w:r>
            <w:proofErr w:type="gramStart"/>
            <w:r>
              <w:rPr>
                <w:rFonts w:ascii="Calibri" w:hAnsi="Calibri"/>
                <w:sz w:val="24"/>
                <w:szCs w:val="24"/>
              </w:rPr>
              <w:t>whistleblower indberetninger</w:t>
            </w:r>
            <w:proofErr w:type="gramEnd"/>
            <w:r>
              <w:rPr>
                <w:rFonts w:ascii="Calibri" w:hAnsi="Calibri"/>
                <w:sz w:val="24"/>
                <w:szCs w:val="24"/>
              </w:rPr>
              <w:t xml:space="preserve"> været i </w:t>
            </w:r>
            <w:proofErr w:type="spellStart"/>
            <w:r>
              <w:rPr>
                <w:rFonts w:ascii="Calibri" w:hAnsi="Calibri"/>
                <w:sz w:val="24"/>
                <w:szCs w:val="24"/>
              </w:rPr>
              <w:t>peioden</w:t>
            </w:r>
            <w:proofErr w:type="spellEnd"/>
            <w:r>
              <w:rPr>
                <w:rFonts w:ascii="Calibri" w:hAnsi="Calibri"/>
                <w:sz w:val="24"/>
                <w:szCs w:val="24"/>
              </w:rPr>
              <w:t>, og dermed ingen data i den resterende del af årsberetningen.</w:t>
            </w:r>
            <w:bookmarkEnd w:id="0"/>
          </w:p>
        </w:tc>
        <w:tc>
          <w:tcPr>
            <w:tcW w:w="11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7613226" w14:textId="7D3235CD" w:rsidR="00A137A2" w:rsidRDefault="008A2625">
            <w:pPr>
              <w:pStyle w:val="TableContents"/>
              <w:jc w:val="center"/>
              <w:rPr>
                <w:rFonts w:ascii="Calibri" w:hAnsi="Calibri"/>
                <w:sz w:val="24"/>
                <w:szCs w:val="24"/>
              </w:rPr>
            </w:pPr>
            <w:bookmarkStart w:id="1" w:name="_Hlk212469881"/>
            <w:r>
              <w:rPr>
                <w:rFonts w:ascii="Calibri" w:hAnsi="Calibri"/>
                <w:sz w:val="24"/>
                <w:szCs w:val="24"/>
              </w:rPr>
              <w:t xml:space="preserve">Nej </w:t>
            </w:r>
            <w:r w:rsidR="00AD1A14">
              <w:rPr>
                <w:rFonts w:ascii="Calibri" w:hAnsi="Calibri"/>
                <w:sz w:val="24"/>
                <w:szCs w:val="24"/>
              </w:rPr>
              <w:t xml:space="preserve">(de </w:t>
            </w:r>
            <w:r w:rsidR="009863A2">
              <w:rPr>
                <w:rFonts w:ascii="Calibri" w:hAnsi="Calibri"/>
                <w:sz w:val="24"/>
                <w:szCs w:val="24"/>
              </w:rPr>
              <w:t>7</w:t>
            </w:r>
            <w:r w:rsidR="00AD1A14">
              <w:rPr>
                <w:rFonts w:ascii="Calibri" w:hAnsi="Calibri"/>
                <w:sz w:val="24"/>
                <w:szCs w:val="24"/>
              </w:rPr>
              <w:t xml:space="preserve"> indberetninger, der har været er ikke omfattet af whistleblowerloven – se nedenfor)</w:t>
            </w:r>
            <w:bookmarkEnd w:id="1"/>
          </w:p>
        </w:tc>
      </w:tr>
      <w:tr w:rsidR="000B72F0" w:rsidRPr="000B72F0" w14:paraId="3FF35522" w14:textId="77777777" w:rsidTr="000B72F0">
        <w:trPr>
          <w:trHeight w:val="100"/>
        </w:trPr>
        <w:tc>
          <w:tcPr>
            <w:tcW w:w="7826" w:type="dxa"/>
            <w:gridSpan w:val="4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ECF34D1" w14:textId="77777777" w:rsidR="000B72F0" w:rsidRPr="000B72F0" w:rsidRDefault="000B72F0">
            <w:pPr>
              <w:pStyle w:val="TableContents"/>
              <w:rPr>
                <w:rFonts w:ascii="Calibri" w:hAnsi="Calibri"/>
                <w:sz w:val="6"/>
                <w:szCs w:val="6"/>
              </w:rPr>
            </w:pPr>
          </w:p>
        </w:tc>
        <w:tc>
          <w:tcPr>
            <w:tcW w:w="11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E2A184E" w14:textId="77777777" w:rsidR="000B72F0" w:rsidRPr="000B72F0" w:rsidRDefault="000B72F0">
            <w:pPr>
              <w:pStyle w:val="TableContents"/>
              <w:jc w:val="center"/>
              <w:rPr>
                <w:rFonts w:ascii="Calibri" w:hAnsi="Calibri"/>
                <w:sz w:val="6"/>
                <w:szCs w:val="6"/>
              </w:rPr>
            </w:pPr>
          </w:p>
        </w:tc>
      </w:tr>
      <w:tr w:rsidR="00A137A2" w14:paraId="0B22F1EF" w14:textId="77777777">
        <w:tc>
          <w:tcPr>
            <w:tcW w:w="7826" w:type="dxa"/>
            <w:gridSpan w:val="4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515C94C" w14:textId="77777777" w:rsidR="00A137A2" w:rsidRDefault="008A2625">
            <w:pPr>
              <w:pStyle w:val="TableContents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Indberetninger fra forrige periode(r) som fortsat behandles</w:t>
            </w:r>
          </w:p>
        </w:tc>
        <w:tc>
          <w:tcPr>
            <w:tcW w:w="11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FD8618B" w14:textId="77777777" w:rsidR="00A137A2" w:rsidRDefault="00DD62C6">
            <w:pPr>
              <w:pStyle w:val="TableContents"/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0</w:t>
            </w:r>
          </w:p>
        </w:tc>
      </w:tr>
      <w:tr w:rsidR="00A137A2" w14:paraId="77D4961F" w14:textId="77777777">
        <w:tc>
          <w:tcPr>
            <w:tcW w:w="7826" w:type="dxa"/>
            <w:gridSpan w:val="4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A80888" w14:textId="77777777" w:rsidR="00A137A2" w:rsidRDefault="008A2625">
            <w:pPr>
              <w:pStyle w:val="TableContents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Modtagne indberetninger i perioden</w:t>
            </w:r>
          </w:p>
        </w:tc>
        <w:tc>
          <w:tcPr>
            <w:tcW w:w="11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5C37C8" w14:textId="05958093" w:rsidR="00A137A2" w:rsidRDefault="009863A2">
            <w:pPr>
              <w:pStyle w:val="TableContents"/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7</w:t>
            </w:r>
          </w:p>
        </w:tc>
      </w:tr>
      <w:tr w:rsidR="00A137A2" w14:paraId="4F62B5A4" w14:textId="77777777">
        <w:tc>
          <w:tcPr>
            <w:tcW w:w="7826" w:type="dxa"/>
            <w:gridSpan w:val="4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1901262" w14:textId="77777777" w:rsidR="00A137A2" w:rsidRDefault="008A2625">
            <w:pPr>
              <w:pStyle w:val="TableContents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Afviste indberetninger i perioden</w:t>
            </w:r>
          </w:p>
          <w:tbl>
            <w:tblPr>
              <w:tblStyle w:val="Tabel-Gitter"/>
              <w:tblW w:w="0" w:type="auto"/>
              <w:tblInd w:w="759" w:type="dxa"/>
              <w:tblBorders>
                <w:top w:val="single" w:sz="4" w:space="0" w:color="A6A6A6" w:themeColor="background1" w:themeShade="A6"/>
                <w:left w:val="single" w:sz="4" w:space="0" w:color="A6A6A6" w:themeColor="background1" w:themeShade="A6"/>
                <w:bottom w:val="single" w:sz="4" w:space="0" w:color="A6A6A6" w:themeColor="background1" w:themeShade="A6"/>
                <w:right w:val="single" w:sz="4" w:space="0" w:color="A6A6A6" w:themeColor="background1" w:themeShade="A6"/>
                <w:insideH w:val="single" w:sz="4" w:space="0" w:color="A6A6A6" w:themeColor="background1" w:themeShade="A6"/>
                <w:insideV w:val="single" w:sz="4" w:space="0" w:color="A6A6A6" w:themeColor="background1" w:themeShade="A6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245"/>
              <w:gridCol w:w="1276"/>
            </w:tblGrid>
            <w:tr w:rsidR="008F30CF" w:rsidRPr="008F30CF" w14:paraId="3716E0BC" w14:textId="77777777" w:rsidTr="008F30CF">
              <w:trPr>
                <w:tblHeader/>
              </w:trPr>
              <w:tc>
                <w:tcPr>
                  <w:tcW w:w="5245" w:type="dxa"/>
                  <w:shd w:val="clear" w:color="auto" w:fill="D9D9D9" w:themeFill="background1" w:themeFillShade="D9"/>
                </w:tcPr>
                <w:p w14:paraId="7F1DFB76" w14:textId="77777777" w:rsidR="002F7027" w:rsidRPr="00AD1D32" w:rsidRDefault="002F7027">
                  <w:pPr>
                    <w:pStyle w:val="TableContents"/>
                    <w:rPr>
                      <w:rFonts w:ascii="Calibri" w:hAnsi="Calibri" w:cs="Calibri"/>
                      <w:b/>
                      <w:bCs/>
                      <w:color w:val="808080" w:themeColor="background1" w:themeShade="80"/>
                      <w:sz w:val="24"/>
                      <w:szCs w:val="24"/>
                    </w:rPr>
                  </w:pPr>
                  <w:proofErr w:type="spellStart"/>
                  <w:r w:rsidRPr="00AD1D32">
                    <w:rPr>
                      <w:rFonts w:ascii="Calibri" w:hAnsi="Calibri" w:cs="Calibri"/>
                      <w:b/>
                      <w:bCs/>
                      <w:color w:val="808080" w:themeColor="background1" w:themeShade="80"/>
                      <w:sz w:val="24"/>
                      <w:szCs w:val="24"/>
                    </w:rPr>
                    <w:t>Arsag</w:t>
                  </w:r>
                  <w:proofErr w:type="spellEnd"/>
                </w:p>
              </w:tc>
              <w:tc>
                <w:tcPr>
                  <w:tcW w:w="1276" w:type="dxa"/>
                  <w:shd w:val="clear" w:color="auto" w:fill="D9D9D9" w:themeFill="background1" w:themeFillShade="D9"/>
                </w:tcPr>
                <w:p w14:paraId="3C44D11C" w14:textId="77777777" w:rsidR="002F7027" w:rsidRPr="00AD1D32" w:rsidRDefault="002F7027">
                  <w:pPr>
                    <w:pStyle w:val="TableContents"/>
                    <w:rPr>
                      <w:rFonts w:ascii="Calibri" w:hAnsi="Calibri" w:cs="Calibri"/>
                      <w:b/>
                      <w:bCs/>
                      <w:color w:val="808080" w:themeColor="background1" w:themeShade="80"/>
                      <w:sz w:val="24"/>
                      <w:szCs w:val="24"/>
                    </w:rPr>
                  </w:pPr>
                  <w:r w:rsidRPr="00AD1D32">
                    <w:rPr>
                      <w:rFonts w:ascii="Calibri" w:hAnsi="Calibri" w:cs="Calibri"/>
                      <w:b/>
                      <w:bCs/>
                      <w:color w:val="808080" w:themeColor="background1" w:themeShade="80"/>
                      <w:sz w:val="24"/>
                      <w:szCs w:val="24"/>
                    </w:rPr>
                    <w:t>Antal</w:t>
                  </w:r>
                </w:p>
              </w:tc>
            </w:tr>
            <w:tr w:rsidR="008F30CF" w:rsidRPr="008F30CF" w14:paraId="110DEEF7" w14:textId="77777777" w:rsidTr="008F30CF">
              <w:tc>
                <w:tcPr>
                  <w:tcW w:w="5245" w:type="dxa"/>
                </w:tcPr>
                <w:p w14:paraId="03B863AB" w14:textId="77777777" w:rsidR="002F7027" w:rsidRPr="008F30CF" w:rsidRDefault="002F7027" w:rsidP="002F7027">
                  <w:pPr>
                    <w:pStyle w:val="TableContents"/>
                    <w:rPr>
                      <w:rFonts w:ascii="Calibri" w:hAnsi="Calibri"/>
                      <w:color w:val="808080" w:themeColor="background1" w:themeShade="80"/>
                      <w:sz w:val="24"/>
                      <w:szCs w:val="24"/>
                    </w:rPr>
                  </w:pPr>
                  <w:r w:rsidRPr="008F30CF">
                    <w:rPr>
                      <w:rFonts w:ascii="Calibri" w:hAnsi="Calibri"/>
                      <w:color w:val="808080" w:themeColor="background1" w:themeShade="80"/>
                      <w:sz w:val="24"/>
                      <w:szCs w:val="24"/>
                    </w:rPr>
                    <w:t>Sager o</w:t>
                  </w:r>
                  <w:r w:rsidR="00064EE3" w:rsidRPr="008F30CF">
                    <w:rPr>
                      <w:rFonts w:ascii="Calibri" w:hAnsi="Calibri"/>
                      <w:color w:val="808080" w:themeColor="background1" w:themeShade="80"/>
                      <w:sz w:val="24"/>
                      <w:szCs w:val="24"/>
                    </w:rPr>
                    <w:t>prettet ved en fejl</w:t>
                  </w:r>
                </w:p>
              </w:tc>
              <w:tc>
                <w:tcPr>
                  <w:tcW w:w="1276" w:type="dxa"/>
                </w:tcPr>
                <w:p w14:paraId="53D442A7" w14:textId="77777777" w:rsidR="002F7027" w:rsidRPr="008F30CF" w:rsidRDefault="00DD62C6" w:rsidP="002F7027">
                  <w:pPr>
                    <w:pStyle w:val="TableContents"/>
                    <w:jc w:val="center"/>
                    <w:rPr>
                      <w:rFonts w:ascii="Calibri" w:hAnsi="Calibri"/>
                      <w:color w:val="808080" w:themeColor="background1" w:themeShade="80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  <w:color w:val="808080" w:themeColor="background1" w:themeShade="80"/>
                      <w:sz w:val="24"/>
                      <w:szCs w:val="24"/>
                    </w:rPr>
                    <w:t>0</w:t>
                  </w:r>
                </w:p>
              </w:tc>
            </w:tr>
            <w:tr w:rsidR="008F30CF" w:rsidRPr="008F30CF" w14:paraId="33AF977F" w14:textId="77777777" w:rsidTr="008F30CF">
              <w:tc>
                <w:tcPr>
                  <w:tcW w:w="5245" w:type="dxa"/>
                </w:tcPr>
                <w:p w14:paraId="5E953B97" w14:textId="77777777" w:rsidR="002F7027" w:rsidRPr="008F30CF" w:rsidRDefault="002F7027" w:rsidP="00064EE3">
                  <w:pPr>
                    <w:pStyle w:val="TableContents"/>
                    <w:rPr>
                      <w:color w:val="808080" w:themeColor="background1" w:themeShade="80"/>
                    </w:rPr>
                  </w:pPr>
                  <w:r w:rsidRPr="008F30CF">
                    <w:rPr>
                      <w:rFonts w:ascii="Calibri" w:hAnsi="Calibri"/>
                      <w:color w:val="808080" w:themeColor="background1" w:themeShade="80"/>
                      <w:sz w:val="24"/>
                      <w:szCs w:val="24"/>
                    </w:rPr>
                    <w:t xml:space="preserve">Sager der ikke er omfattet af </w:t>
                  </w:r>
                  <w:proofErr w:type="gramStart"/>
                  <w:r w:rsidRPr="008F30CF">
                    <w:rPr>
                      <w:rFonts w:ascii="Calibri" w:hAnsi="Calibri"/>
                      <w:color w:val="808080" w:themeColor="background1" w:themeShade="80"/>
                      <w:sz w:val="24"/>
                      <w:szCs w:val="24"/>
                    </w:rPr>
                    <w:t>whistleblower loven</w:t>
                  </w:r>
                  <w:proofErr w:type="gramEnd"/>
                  <w:r w:rsidRPr="008F30CF">
                    <w:rPr>
                      <w:rFonts w:ascii="Calibri" w:hAnsi="Calibri"/>
                      <w:color w:val="808080" w:themeColor="background1" w:themeShade="80"/>
                      <w:sz w:val="24"/>
                      <w:szCs w:val="24"/>
                    </w:rPr>
                    <w:t xml:space="preserve"> (EU-, straffe- eller særlov, chikane</w:t>
                  </w:r>
                  <w:r w:rsidR="00064EE3" w:rsidRPr="008F30CF">
                    <w:rPr>
                      <w:rFonts w:ascii="Calibri" w:hAnsi="Calibri"/>
                      <w:color w:val="808080" w:themeColor="background1" w:themeShade="80"/>
                      <w:sz w:val="24"/>
                      <w:szCs w:val="24"/>
                    </w:rPr>
                    <w:t xml:space="preserve"> eller øvrige alvorlige forhold)</w:t>
                  </w:r>
                </w:p>
              </w:tc>
              <w:tc>
                <w:tcPr>
                  <w:tcW w:w="1276" w:type="dxa"/>
                </w:tcPr>
                <w:p w14:paraId="1E1C0319" w14:textId="480FB96C" w:rsidR="002F7027" w:rsidRPr="008F30CF" w:rsidRDefault="009863A2" w:rsidP="002F7027">
                  <w:pPr>
                    <w:pStyle w:val="TableContents"/>
                    <w:jc w:val="center"/>
                    <w:rPr>
                      <w:rFonts w:ascii="Calibri" w:hAnsi="Calibri"/>
                      <w:color w:val="808080" w:themeColor="background1" w:themeShade="80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  <w:color w:val="808080" w:themeColor="background1" w:themeShade="80"/>
                      <w:sz w:val="24"/>
                      <w:szCs w:val="24"/>
                    </w:rPr>
                    <w:t>7</w:t>
                  </w:r>
                </w:p>
              </w:tc>
            </w:tr>
            <w:tr w:rsidR="008F30CF" w:rsidRPr="008F30CF" w14:paraId="027C3A9B" w14:textId="77777777" w:rsidTr="008F30CF">
              <w:tc>
                <w:tcPr>
                  <w:tcW w:w="5245" w:type="dxa"/>
                </w:tcPr>
                <w:p w14:paraId="7253AC90" w14:textId="77777777" w:rsidR="002F7027" w:rsidRDefault="002F7027" w:rsidP="002F7027">
                  <w:pPr>
                    <w:pStyle w:val="TableContents"/>
                    <w:rPr>
                      <w:rFonts w:ascii="Calibri" w:hAnsi="Calibri"/>
                      <w:color w:val="808080" w:themeColor="background1" w:themeShade="80"/>
                      <w:sz w:val="24"/>
                      <w:szCs w:val="24"/>
                    </w:rPr>
                  </w:pPr>
                  <w:r w:rsidRPr="008F30CF">
                    <w:rPr>
                      <w:rFonts w:ascii="Calibri" w:hAnsi="Calibri"/>
                      <w:color w:val="808080" w:themeColor="background1" w:themeShade="80"/>
                      <w:sz w:val="24"/>
                      <w:szCs w:val="24"/>
                    </w:rPr>
                    <w:t xml:space="preserve">Sager hvor </w:t>
                  </w:r>
                  <w:proofErr w:type="gramStart"/>
                  <w:r w:rsidRPr="008F30CF">
                    <w:rPr>
                      <w:rFonts w:ascii="Calibri" w:hAnsi="Calibri"/>
                      <w:color w:val="808080" w:themeColor="background1" w:themeShade="80"/>
                      <w:sz w:val="24"/>
                      <w:szCs w:val="24"/>
                    </w:rPr>
                    <w:t>indberetter ikke er</w:t>
                  </w:r>
                  <w:proofErr w:type="gramEnd"/>
                  <w:r w:rsidRPr="008F30CF">
                    <w:rPr>
                      <w:rFonts w:ascii="Calibri" w:hAnsi="Calibri"/>
                      <w:color w:val="808080" w:themeColor="background1" w:themeShade="80"/>
                      <w:sz w:val="24"/>
                      <w:szCs w:val="24"/>
                    </w:rPr>
                    <w:t xml:space="preserve"> </w:t>
                  </w:r>
                  <w:r w:rsidR="00064EE3" w:rsidRPr="008F30CF">
                    <w:rPr>
                      <w:rFonts w:ascii="Calibri" w:hAnsi="Calibri"/>
                      <w:color w:val="808080" w:themeColor="background1" w:themeShade="80"/>
                      <w:sz w:val="24"/>
                      <w:szCs w:val="24"/>
                    </w:rPr>
                    <w:t xml:space="preserve">omfattet af </w:t>
                  </w:r>
                  <w:r w:rsidR="00064EE3" w:rsidRPr="008F30CF">
                    <w:rPr>
                      <w:rFonts w:ascii="Calibri" w:hAnsi="Calibri"/>
                      <w:color w:val="808080" w:themeColor="background1" w:themeShade="80"/>
                      <w:sz w:val="24"/>
                      <w:szCs w:val="24"/>
                    </w:rPr>
                    <w:lastRenderedPageBreak/>
                    <w:t>whistleblower loven</w:t>
                  </w:r>
                  <w:r w:rsidR="00064EE3" w:rsidRPr="008F30CF">
                    <w:rPr>
                      <w:rFonts w:ascii="Calibri" w:hAnsi="Calibri"/>
                      <w:color w:val="808080" w:themeColor="background1" w:themeShade="80"/>
                      <w:sz w:val="24"/>
                      <w:szCs w:val="24"/>
                    </w:rPr>
                    <w:br/>
                    <w:t>(ansatte, tidligere ansatte, partneres ansatte</w:t>
                  </w:r>
                  <w:r w:rsidR="000C5065">
                    <w:rPr>
                      <w:rFonts w:ascii="Calibri" w:hAnsi="Calibri"/>
                      <w:color w:val="808080" w:themeColor="background1" w:themeShade="80"/>
                      <w:sz w:val="24"/>
                      <w:szCs w:val="24"/>
                    </w:rPr>
                    <w:t>*</w:t>
                  </w:r>
                  <w:r w:rsidR="00064EE3" w:rsidRPr="008F30CF">
                    <w:rPr>
                      <w:rFonts w:ascii="Calibri" w:hAnsi="Calibri"/>
                      <w:color w:val="808080" w:themeColor="background1" w:themeShade="80"/>
                      <w:sz w:val="24"/>
                      <w:szCs w:val="24"/>
                    </w:rPr>
                    <w:t>)</w:t>
                  </w:r>
                </w:p>
                <w:p w14:paraId="0F1010D1" w14:textId="77777777" w:rsidR="000C5065" w:rsidRDefault="000C5065" w:rsidP="002F7027">
                  <w:pPr>
                    <w:pStyle w:val="TableContents"/>
                    <w:rPr>
                      <w:rFonts w:ascii="Calibri" w:hAnsi="Calibri"/>
                      <w:color w:val="808080" w:themeColor="background1" w:themeShade="80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  <w:color w:val="808080" w:themeColor="background1" w:themeShade="80"/>
                      <w:sz w:val="24"/>
                      <w:szCs w:val="24"/>
                    </w:rPr>
                    <w:t>*I Styrelsen for Patientsikkerhed kan følgende persongrupper bruge whistleblowerordningen:</w:t>
                  </w:r>
                </w:p>
                <w:p w14:paraId="7661E92E" w14:textId="77777777" w:rsidR="000C5065" w:rsidRPr="000C5065" w:rsidRDefault="000C5065" w:rsidP="000C5065">
                  <w:pPr>
                    <w:widowControl/>
                    <w:numPr>
                      <w:ilvl w:val="0"/>
                      <w:numId w:val="1"/>
                    </w:numPr>
                    <w:shd w:val="clear" w:color="auto" w:fill="FFFFFF"/>
                    <w:suppressAutoHyphens w:val="0"/>
                    <w:spacing w:before="113" w:after="113"/>
                    <w:ind w:left="525"/>
                    <w:textAlignment w:val="auto"/>
                    <w:rPr>
                      <w:rFonts w:eastAsia="Garamond" w:cs="Garamond"/>
                      <w:color w:val="808080" w:themeColor="background1" w:themeShade="80"/>
                      <w:sz w:val="24"/>
                      <w:szCs w:val="24"/>
                    </w:rPr>
                  </w:pPr>
                  <w:r w:rsidRPr="000C5065">
                    <w:rPr>
                      <w:rFonts w:eastAsia="Garamond" w:cs="Garamond"/>
                      <w:color w:val="808080" w:themeColor="background1" w:themeShade="80"/>
                      <w:sz w:val="24"/>
                      <w:szCs w:val="24"/>
                    </w:rPr>
                    <w:t xml:space="preserve">Ansatte og tidligere ansatte </w:t>
                  </w:r>
                </w:p>
                <w:p w14:paraId="253B7FF3" w14:textId="77777777" w:rsidR="000C5065" w:rsidRPr="000C5065" w:rsidRDefault="000C5065" w:rsidP="000C5065">
                  <w:pPr>
                    <w:widowControl/>
                    <w:numPr>
                      <w:ilvl w:val="0"/>
                      <w:numId w:val="1"/>
                    </w:numPr>
                    <w:shd w:val="clear" w:color="auto" w:fill="FFFFFF"/>
                    <w:suppressAutoHyphens w:val="0"/>
                    <w:spacing w:before="113" w:after="113"/>
                    <w:ind w:left="525"/>
                    <w:textAlignment w:val="auto"/>
                    <w:rPr>
                      <w:rFonts w:eastAsia="Garamond" w:cs="Garamond"/>
                      <w:color w:val="808080" w:themeColor="background1" w:themeShade="80"/>
                      <w:sz w:val="24"/>
                      <w:szCs w:val="24"/>
                    </w:rPr>
                  </w:pPr>
                  <w:r w:rsidRPr="000C5065">
                    <w:rPr>
                      <w:rFonts w:eastAsia="Garamond" w:cs="Garamond"/>
                      <w:color w:val="808080" w:themeColor="background1" w:themeShade="80"/>
                      <w:sz w:val="24"/>
                      <w:szCs w:val="24"/>
                    </w:rPr>
                    <w:t xml:space="preserve">Lønnede og ulønnede praktikanter </w:t>
                  </w:r>
                </w:p>
                <w:p w14:paraId="76A85907" w14:textId="77777777" w:rsidR="000C5065" w:rsidRPr="000C5065" w:rsidRDefault="000C5065" w:rsidP="000C5065">
                  <w:pPr>
                    <w:widowControl/>
                    <w:numPr>
                      <w:ilvl w:val="0"/>
                      <w:numId w:val="1"/>
                    </w:numPr>
                    <w:shd w:val="clear" w:color="auto" w:fill="FFFFFF"/>
                    <w:suppressAutoHyphens w:val="0"/>
                    <w:spacing w:before="113" w:after="113"/>
                    <w:ind w:left="525"/>
                    <w:textAlignment w:val="auto"/>
                    <w:rPr>
                      <w:rFonts w:eastAsia="Garamond" w:cs="Garamond"/>
                      <w:color w:val="808080" w:themeColor="background1" w:themeShade="80"/>
                      <w:sz w:val="24"/>
                      <w:szCs w:val="24"/>
                    </w:rPr>
                  </w:pPr>
                  <w:r w:rsidRPr="000C5065">
                    <w:rPr>
                      <w:rFonts w:eastAsia="Garamond" w:cs="Garamond"/>
                      <w:color w:val="808080" w:themeColor="background1" w:themeShade="80"/>
                      <w:sz w:val="24"/>
                      <w:szCs w:val="24"/>
                    </w:rPr>
                    <w:t>Personer, som arbejder under tilsyn og ledelse af kontrahenter, underleverandører og</w:t>
                  </w:r>
                  <w:r w:rsidRPr="000C5065">
                    <w:rPr>
                      <w:rFonts w:ascii="Helvetica" w:eastAsia="Times New Roman" w:hAnsi="Helvetica" w:cs="Times New Roman"/>
                      <w:color w:val="252525"/>
                      <w:sz w:val="24"/>
                      <w:szCs w:val="24"/>
                      <w:lang w:eastAsia="da-DK"/>
                    </w:rPr>
                    <w:t xml:space="preserve"> </w:t>
                  </w:r>
                  <w:r w:rsidRPr="000C5065">
                    <w:rPr>
                      <w:rFonts w:eastAsia="Garamond" w:cs="Garamond"/>
                      <w:color w:val="808080" w:themeColor="background1" w:themeShade="80"/>
                      <w:sz w:val="24"/>
                      <w:szCs w:val="24"/>
                    </w:rPr>
                    <w:t>leverandører til Styrelsen for Patientsikkerhed</w:t>
                  </w:r>
                </w:p>
                <w:p w14:paraId="336C53E2" w14:textId="77777777" w:rsidR="000C5065" w:rsidRPr="000C5065" w:rsidRDefault="000C5065" w:rsidP="000C5065">
                  <w:pPr>
                    <w:widowControl/>
                    <w:numPr>
                      <w:ilvl w:val="0"/>
                      <w:numId w:val="1"/>
                    </w:numPr>
                    <w:shd w:val="clear" w:color="auto" w:fill="FFFFFF"/>
                    <w:suppressAutoHyphens w:val="0"/>
                    <w:spacing w:before="113" w:after="113"/>
                    <w:ind w:left="525"/>
                    <w:textAlignment w:val="auto"/>
                    <w:rPr>
                      <w:rFonts w:eastAsia="Garamond" w:cs="Garamond"/>
                      <w:color w:val="808080" w:themeColor="background1" w:themeShade="80"/>
                      <w:sz w:val="24"/>
                      <w:szCs w:val="24"/>
                    </w:rPr>
                  </w:pPr>
                  <w:r w:rsidRPr="000C5065">
                    <w:rPr>
                      <w:rFonts w:eastAsia="Garamond" w:cs="Garamond"/>
                      <w:color w:val="808080" w:themeColor="background1" w:themeShade="80"/>
                      <w:sz w:val="24"/>
                      <w:szCs w:val="24"/>
                    </w:rPr>
                    <w:t>Personer, hvis arbejdsmæssige forhold endnu ikke er påbegyndt, der indberetter oplysninger om overtrædelser, som vedkommende har oplevet i løbet af ansættelsesprocessen eller andre før-kontraktuelle forhandlinger.</w:t>
                  </w:r>
                </w:p>
                <w:p w14:paraId="5DDAE622" w14:textId="77777777" w:rsidR="000C5065" w:rsidRPr="008F30CF" w:rsidRDefault="000C5065" w:rsidP="002F7027">
                  <w:pPr>
                    <w:pStyle w:val="TableContents"/>
                    <w:rPr>
                      <w:rFonts w:ascii="Calibri" w:hAnsi="Calibri"/>
                      <w:color w:val="808080" w:themeColor="background1" w:themeShade="80"/>
                      <w:sz w:val="24"/>
                      <w:szCs w:val="24"/>
                    </w:rPr>
                  </w:pPr>
                </w:p>
              </w:tc>
              <w:tc>
                <w:tcPr>
                  <w:tcW w:w="1276" w:type="dxa"/>
                </w:tcPr>
                <w:p w14:paraId="31BB88CF" w14:textId="77777777" w:rsidR="002F7027" w:rsidRPr="008F30CF" w:rsidRDefault="00C86988" w:rsidP="002F7027">
                  <w:pPr>
                    <w:pStyle w:val="TableContents"/>
                    <w:jc w:val="center"/>
                    <w:rPr>
                      <w:rFonts w:ascii="Calibri" w:hAnsi="Calibri"/>
                      <w:color w:val="808080" w:themeColor="background1" w:themeShade="80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  <w:color w:val="808080" w:themeColor="background1" w:themeShade="80"/>
                      <w:sz w:val="24"/>
                      <w:szCs w:val="24"/>
                    </w:rPr>
                    <w:lastRenderedPageBreak/>
                    <w:t>0</w:t>
                  </w:r>
                </w:p>
              </w:tc>
            </w:tr>
            <w:tr w:rsidR="008F30CF" w:rsidRPr="008F30CF" w14:paraId="5BDC8423" w14:textId="77777777" w:rsidTr="008F30CF">
              <w:tc>
                <w:tcPr>
                  <w:tcW w:w="5245" w:type="dxa"/>
                </w:tcPr>
                <w:p w14:paraId="72E0F1C5" w14:textId="77777777" w:rsidR="002F7027" w:rsidRPr="008F30CF" w:rsidRDefault="002F7027" w:rsidP="002F7027">
                  <w:pPr>
                    <w:pStyle w:val="TableContents"/>
                    <w:rPr>
                      <w:rFonts w:ascii="Calibri" w:hAnsi="Calibri"/>
                      <w:color w:val="808080" w:themeColor="background1" w:themeShade="80"/>
                      <w:sz w:val="24"/>
                      <w:szCs w:val="24"/>
                    </w:rPr>
                  </w:pPr>
                  <w:r w:rsidRPr="008F30CF">
                    <w:rPr>
                      <w:rFonts w:ascii="Calibri" w:hAnsi="Calibri"/>
                      <w:color w:val="808080" w:themeColor="background1" w:themeShade="80"/>
                      <w:sz w:val="24"/>
                      <w:szCs w:val="24"/>
                    </w:rPr>
                    <w:t xml:space="preserve">Sager om personlige/personaleretlige forhold, </w:t>
                  </w:r>
                  <w:r w:rsidR="00064EE3" w:rsidRPr="008F30CF">
                    <w:rPr>
                      <w:rFonts w:ascii="Calibri" w:hAnsi="Calibri"/>
                      <w:color w:val="808080" w:themeColor="background1" w:themeShade="80"/>
                      <w:sz w:val="24"/>
                      <w:szCs w:val="24"/>
                    </w:rPr>
                    <w:t>(F</w:t>
                  </w:r>
                  <w:r w:rsidRPr="008F30CF">
                    <w:rPr>
                      <w:rFonts w:ascii="Calibri" w:hAnsi="Calibri"/>
                      <w:color w:val="808080" w:themeColor="background1" w:themeShade="80"/>
                      <w:sz w:val="24"/>
                      <w:szCs w:val="24"/>
                    </w:rPr>
                    <w:t>.eks. ansættelsesmæssige klager eller sager hør</w:t>
                  </w:r>
                  <w:r w:rsidR="00064EE3" w:rsidRPr="008F30CF">
                    <w:rPr>
                      <w:rFonts w:ascii="Calibri" w:hAnsi="Calibri"/>
                      <w:color w:val="808080" w:themeColor="background1" w:themeShade="80"/>
                      <w:sz w:val="24"/>
                      <w:szCs w:val="24"/>
                    </w:rPr>
                    <w:t>ende til det fagretslige system)</w:t>
                  </w:r>
                  <w:r w:rsidRPr="008F30CF">
                    <w:rPr>
                      <w:rFonts w:ascii="Calibri" w:hAnsi="Calibri"/>
                      <w:color w:val="808080" w:themeColor="background1" w:themeShade="80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1276" w:type="dxa"/>
                </w:tcPr>
                <w:p w14:paraId="3AA80BE1" w14:textId="77777777" w:rsidR="002F7027" w:rsidRPr="008F30CF" w:rsidRDefault="00DD62C6" w:rsidP="002F7027">
                  <w:pPr>
                    <w:pStyle w:val="TableContents"/>
                    <w:jc w:val="center"/>
                    <w:rPr>
                      <w:rFonts w:ascii="Calibri" w:hAnsi="Calibri"/>
                      <w:color w:val="808080" w:themeColor="background1" w:themeShade="80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  <w:color w:val="808080" w:themeColor="background1" w:themeShade="80"/>
                      <w:sz w:val="24"/>
                      <w:szCs w:val="24"/>
                    </w:rPr>
                    <w:t>0</w:t>
                  </w:r>
                </w:p>
              </w:tc>
            </w:tr>
            <w:tr w:rsidR="008F30CF" w:rsidRPr="008F30CF" w14:paraId="4DC63C46" w14:textId="77777777" w:rsidTr="008F30CF">
              <w:tc>
                <w:tcPr>
                  <w:tcW w:w="5245" w:type="dxa"/>
                </w:tcPr>
                <w:p w14:paraId="35C624E8" w14:textId="77777777" w:rsidR="00064EE3" w:rsidRPr="008F30CF" w:rsidRDefault="002F7027" w:rsidP="000B72F0">
                  <w:pPr>
                    <w:pStyle w:val="TableContents"/>
                    <w:keepNext/>
                    <w:keepLines/>
                    <w:rPr>
                      <w:rFonts w:ascii="Calibri" w:hAnsi="Calibri"/>
                      <w:color w:val="808080" w:themeColor="background1" w:themeShade="80"/>
                      <w:sz w:val="24"/>
                      <w:szCs w:val="24"/>
                    </w:rPr>
                  </w:pPr>
                  <w:r w:rsidRPr="008F30CF">
                    <w:rPr>
                      <w:rFonts w:ascii="Calibri" w:hAnsi="Calibri"/>
                      <w:color w:val="808080" w:themeColor="background1" w:themeShade="80"/>
                      <w:sz w:val="24"/>
                      <w:szCs w:val="24"/>
                    </w:rPr>
                    <w:t>Sager med ufuldstændigt grundlag for videre behandling</w:t>
                  </w:r>
                </w:p>
                <w:p w14:paraId="0D82AB3B" w14:textId="77777777" w:rsidR="002F7027" w:rsidRPr="008F30CF" w:rsidRDefault="00064EE3" w:rsidP="000B72F0">
                  <w:pPr>
                    <w:pStyle w:val="TableContents"/>
                    <w:keepNext/>
                    <w:keepLines/>
                    <w:rPr>
                      <w:color w:val="808080" w:themeColor="background1" w:themeShade="80"/>
                    </w:rPr>
                  </w:pPr>
                  <w:r w:rsidRPr="008F30CF">
                    <w:rPr>
                      <w:rFonts w:ascii="Calibri" w:hAnsi="Calibri"/>
                      <w:color w:val="808080" w:themeColor="background1" w:themeShade="80"/>
                      <w:sz w:val="24"/>
                      <w:szCs w:val="24"/>
                    </w:rPr>
                    <w:t>(</w:t>
                  </w:r>
                  <w:proofErr w:type="spellStart"/>
                  <w:r w:rsidRPr="008F30CF">
                    <w:rPr>
                      <w:rFonts w:ascii="Calibri" w:hAnsi="Calibri"/>
                      <w:color w:val="808080" w:themeColor="background1" w:themeShade="80"/>
                      <w:sz w:val="24"/>
                      <w:szCs w:val="24"/>
                    </w:rPr>
                    <w:t>F</w:t>
                  </w:r>
                  <w:r w:rsidR="002F7027" w:rsidRPr="008F30CF">
                    <w:rPr>
                      <w:rFonts w:ascii="Calibri" w:hAnsi="Calibri"/>
                      <w:color w:val="808080" w:themeColor="background1" w:themeShade="80"/>
                      <w:sz w:val="24"/>
                      <w:szCs w:val="24"/>
                    </w:rPr>
                    <w:t>eks</w:t>
                  </w:r>
                  <w:proofErr w:type="spellEnd"/>
                  <w:r w:rsidR="002F7027" w:rsidRPr="008F30CF">
                    <w:rPr>
                      <w:rFonts w:ascii="Calibri" w:hAnsi="Calibri"/>
                      <w:color w:val="808080" w:themeColor="background1" w:themeShade="80"/>
                      <w:sz w:val="24"/>
                      <w:szCs w:val="24"/>
                    </w:rPr>
                    <w:t xml:space="preserve">. grundet anonymitet, manglende samtykke fra indberetter, eller hvor indberetningen </w:t>
                  </w:r>
                  <w:r w:rsidRPr="008F30CF">
                    <w:rPr>
                      <w:rFonts w:ascii="Calibri" w:hAnsi="Calibri"/>
                      <w:color w:val="808080" w:themeColor="background1" w:themeShade="80"/>
                      <w:sz w:val="24"/>
                      <w:szCs w:val="24"/>
                    </w:rPr>
                    <w:t>ikke kan uddybes tilstrækkeligt)</w:t>
                  </w:r>
                </w:p>
              </w:tc>
              <w:tc>
                <w:tcPr>
                  <w:tcW w:w="1276" w:type="dxa"/>
                </w:tcPr>
                <w:p w14:paraId="68EFACD4" w14:textId="77777777" w:rsidR="002F7027" w:rsidRPr="008F30CF" w:rsidRDefault="00DD62C6" w:rsidP="002F7027">
                  <w:pPr>
                    <w:pStyle w:val="TableContents"/>
                    <w:jc w:val="center"/>
                    <w:rPr>
                      <w:rFonts w:ascii="Calibri" w:hAnsi="Calibri"/>
                      <w:color w:val="808080" w:themeColor="background1" w:themeShade="80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  <w:color w:val="808080" w:themeColor="background1" w:themeShade="80"/>
                      <w:sz w:val="24"/>
                      <w:szCs w:val="24"/>
                    </w:rPr>
                    <w:t>0</w:t>
                  </w:r>
                </w:p>
              </w:tc>
            </w:tr>
            <w:tr w:rsidR="008F30CF" w:rsidRPr="008F30CF" w14:paraId="457B9450" w14:textId="77777777" w:rsidTr="008F30CF">
              <w:tc>
                <w:tcPr>
                  <w:tcW w:w="5245" w:type="dxa"/>
                </w:tcPr>
                <w:p w14:paraId="49031B8D" w14:textId="77777777" w:rsidR="002F7027" w:rsidRPr="008F30CF" w:rsidRDefault="002F7027" w:rsidP="00064EE3">
                  <w:pPr>
                    <w:pStyle w:val="TableContents"/>
                    <w:rPr>
                      <w:rFonts w:ascii="Calibri" w:hAnsi="Calibri"/>
                      <w:color w:val="808080" w:themeColor="background1" w:themeShade="80"/>
                      <w:sz w:val="24"/>
                      <w:szCs w:val="24"/>
                    </w:rPr>
                  </w:pPr>
                  <w:r w:rsidRPr="008F30CF">
                    <w:rPr>
                      <w:rFonts w:ascii="Calibri" w:hAnsi="Calibri"/>
                      <w:color w:val="808080" w:themeColor="background1" w:themeShade="80"/>
                      <w:sz w:val="24"/>
                      <w:szCs w:val="24"/>
                    </w:rPr>
                    <w:t xml:space="preserve">Sager der ville kompromittere en faglig tavshedspligt </w:t>
                  </w:r>
                  <w:r w:rsidR="00064EE3" w:rsidRPr="008F30CF">
                    <w:rPr>
                      <w:rFonts w:ascii="Calibri" w:hAnsi="Calibri"/>
                      <w:color w:val="808080" w:themeColor="background1" w:themeShade="80"/>
                      <w:sz w:val="24"/>
                      <w:szCs w:val="24"/>
                    </w:rPr>
                    <w:br/>
                    <w:t>(S</w:t>
                  </w:r>
                  <w:r w:rsidRPr="008F30CF">
                    <w:rPr>
                      <w:rFonts w:ascii="Calibri" w:hAnsi="Calibri"/>
                      <w:color w:val="808080" w:themeColor="background1" w:themeShade="80"/>
                      <w:sz w:val="24"/>
                      <w:szCs w:val="24"/>
                    </w:rPr>
                    <w:t>undhed, advokater, rådslagning og afstemning), eller klassificerede oplysninger</w:t>
                  </w:r>
                  <w:r w:rsidR="00064EE3" w:rsidRPr="008F30CF">
                    <w:rPr>
                      <w:rFonts w:ascii="Calibri" w:hAnsi="Calibri"/>
                      <w:color w:val="808080" w:themeColor="background1" w:themeShade="80"/>
                      <w:sz w:val="24"/>
                      <w:szCs w:val="24"/>
                    </w:rPr>
                    <w:t xml:space="preserve"> indenfor forsvar og </w:t>
                  </w:r>
                  <w:proofErr w:type="spellStart"/>
                  <w:r w:rsidR="00064EE3" w:rsidRPr="008F30CF">
                    <w:rPr>
                      <w:rFonts w:ascii="Calibri" w:hAnsi="Calibri"/>
                      <w:color w:val="808080" w:themeColor="background1" w:themeShade="80"/>
                      <w:sz w:val="24"/>
                      <w:szCs w:val="24"/>
                    </w:rPr>
                    <w:t>sikkerheed</w:t>
                  </w:r>
                  <w:proofErr w:type="spellEnd"/>
                  <w:r w:rsidR="00064EE3" w:rsidRPr="008F30CF">
                    <w:rPr>
                      <w:rFonts w:ascii="Calibri" w:hAnsi="Calibri"/>
                      <w:color w:val="808080" w:themeColor="background1" w:themeShade="80"/>
                      <w:sz w:val="24"/>
                      <w:szCs w:val="24"/>
                    </w:rPr>
                    <w:t>)</w:t>
                  </w:r>
                  <w:r w:rsidRPr="008F30CF">
                    <w:rPr>
                      <w:rFonts w:ascii="Calibri" w:hAnsi="Calibri"/>
                      <w:color w:val="808080" w:themeColor="background1" w:themeShade="80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1276" w:type="dxa"/>
                </w:tcPr>
                <w:p w14:paraId="1744CD10" w14:textId="77777777" w:rsidR="002F7027" w:rsidRPr="008F30CF" w:rsidRDefault="00DD62C6" w:rsidP="002F7027">
                  <w:pPr>
                    <w:pStyle w:val="TableContents"/>
                    <w:jc w:val="center"/>
                    <w:rPr>
                      <w:rFonts w:ascii="Calibri" w:hAnsi="Calibri"/>
                      <w:color w:val="808080" w:themeColor="background1" w:themeShade="80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  <w:color w:val="808080" w:themeColor="background1" w:themeShade="80"/>
                      <w:sz w:val="24"/>
                      <w:szCs w:val="24"/>
                    </w:rPr>
                    <w:t>0</w:t>
                  </w:r>
                </w:p>
              </w:tc>
            </w:tr>
            <w:tr w:rsidR="008F30CF" w:rsidRPr="008F30CF" w14:paraId="1FEB5C86" w14:textId="77777777" w:rsidTr="008F30CF">
              <w:tc>
                <w:tcPr>
                  <w:tcW w:w="5245" w:type="dxa"/>
                </w:tcPr>
                <w:p w14:paraId="30F58F10" w14:textId="77777777" w:rsidR="002F7027" w:rsidRPr="008F30CF" w:rsidRDefault="00064EE3" w:rsidP="002F7027">
                  <w:pPr>
                    <w:pStyle w:val="TableContents"/>
                    <w:rPr>
                      <w:rFonts w:ascii="Calibri" w:hAnsi="Calibri"/>
                      <w:color w:val="808080" w:themeColor="background1" w:themeShade="80"/>
                      <w:sz w:val="24"/>
                      <w:szCs w:val="24"/>
                    </w:rPr>
                  </w:pPr>
                  <w:r w:rsidRPr="008F30CF">
                    <w:rPr>
                      <w:rFonts w:ascii="Calibri" w:hAnsi="Calibri"/>
                      <w:color w:val="808080" w:themeColor="background1" w:themeShade="80"/>
                      <w:sz w:val="24"/>
                      <w:szCs w:val="24"/>
                    </w:rPr>
                    <w:t>Sager afvist af øvrige årsager</w:t>
                  </w:r>
                </w:p>
              </w:tc>
              <w:tc>
                <w:tcPr>
                  <w:tcW w:w="1276" w:type="dxa"/>
                </w:tcPr>
                <w:p w14:paraId="577E3606" w14:textId="77777777" w:rsidR="002F7027" w:rsidRPr="008F30CF" w:rsidRDefault="00C86988" w:rsidP="002F7027">
                  <w:pPr>
                    <w:pStyle w:val="TableContents"/>
                    <w:jc w:val="center"/>
                    <w:rPr>
                      <w:rFonts w:ascii="Calibri" w:hAnsi="Calibri"/>
                      <w:color w:val="808080" w:themeColor="background1" w:themeShade="80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  <w:color w:val="808080" w:themeColor="background1" w:themeShade="80"/>
                      <w:sz w:val="24"/>
                      <w:szCs w:val="24"/>
                    </w:rPr>
                    <w:t>0</w:t>
                  </w:r>
                </w:p>
              </w:tc>
            </w:tr>
          </w:tbl>
          <w:p w14:paraId="23493A14" w14:textId="77777777" w:rsidR="00A137A2" w:rsidRDefault="00064EE3">
            <w:pPr>
              <w:pStyle w:val="TableContents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 xml:space="preserve">  </w:t>
            </w:r>
          </w:p>
        </w:tc>
        <w:tc>
          <w:tcPr>
            <w:tcW w:w="11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B45C9FC" w14:textId="6207275D" w:rsidR="00A137A2" w:rsidRDefault="009863A2">
            <w:pPr>
              <w:pStyle w:val="TableContents"/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lastRenderedPageBreak/>
              <w:t>7</w:t>
            </w:r>
          </w:p>
        </w:tc>
      </w:tr>
      <w:tr w:rsidR="00A137A2" w14:paraId="1D6E43F0" w14:textId="77777777">
        <w:tc>
          <w:tcPr>
            <w:tcW w:w="7826" w:type="dxa"/>
            <w:gridSpan w:val="4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DF4067" w14:textId="77777777" w:rsidR="00A137A2" w:rsidRDefault="008A2625">
            <w:pPr>
              <w:pStyle w:val="TableContents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Realitetsbehandlede indberetninger i perioden</w:t>
            </w:r>
          </w:p>
          <w:tbl>
            <w:tblPr>
              <w:tblStyle w:val="Tabel-Gitter"/>
              <w:tblW w:w="0" w:type="auto"/>
              <w:tblInd w:w="759" w:type="dxa"/>
              <w:tblBorders>
                <w:top w:val="single" w:sz="4" w:space="0" w:color="A6A6A6" w:themeColor="background1" w:themeShade="A6"/>
                <w:left w:val="single" w:sz="4" w:space="0" w:color="A6A6A6" w:themeColor="background1" w:themeShade="A6"/>
                <w:bottom w:val="single" w:sz="4" w:space="0" w:color="A6A6A6" w:themeColor="background1" w:themeShade="A6"/>
                <w:right w:val="single" w:sz="4" w:space="0" w:color="A6A6A6" w:themeColor="background1" w:themeShade="A6"/>
                <w:insideH w:val="single" w:sz="4" w:space="0" w:color="A6A6A6" w:themeColor="background1" w:themeShade="A6"/>
                <w:insideV w:val="single" w:sz="4" w:space="0" w:color="A6A6A6" w:themeColor="background1" w:themeShade="A6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245"/>
              <w:gridCol w:w="1276"/>
            </w:tblGrid>
            <w:tr w:rsidR="002F7027" w14:paraId="0C88EC5B" w14:textId="77777777" w:rsidTr="008F30CF">
              <w:trPr>
                <w:tblHeader/>
              </w:trPr>
              <w:tc>
                <w:tcPr>
                  <w:tcW w:w="5245" w:type="dxa"/>
                  <w:shd w:val="clear" w:color="auto" w:fill="D9D9D9" w:themeFill="background1" w:themeFillShade="D9"/>
                </w:tcPr>
                <w:p w14:paraId="47B67181" w14:textId="77777777" w:rsidR="002F7027" w:rsidRPr="00AD1D32" w:rsidRDefault="002F7027" w:rsidP="002F7027">
                  <w:pPr>
                    <w:pStyle w:val="TableContents"/>
                    <w:rPr>
                      <w:rFonts w:ascii="Calibri" w:hAnsi="Calibri" w:cs="Calibri"/>
                      <w:b/>
                      <w:bCs/>
                      <w:color w:val="808080" w:themeColor="background1" w:themeShade="80"/>
                      <w:sz w:val="24"/>
                      <w:szCs w:val="24"/>
                    </w:rPr>
                  </w:pPr>
                  <w:r w:rsidRPr="00AD1D32">
                    <w:rPr>
                      <w:rFonts w:ascii="Calibri" w:hAnsi="Calibri" w:cs="Calibri"/>
                      <w:b/>
                      <w:bCs/>
                      <w:color w:val="808080" w:themeColor="background1" w:themeShade="80"/>
                      <w:sz w:val="24"/>
                      <w:szCs w:val="24"/>
                    </w:rPr>
                    <w:t>Lovgrundlag</w:t>
                  </w:r>
                </w:p>
              </w:tc>
              <w:tc>
                <w:tcPr>
                  <w:tcW w:w="1276" w:type="dxa"/>
                  <w:shd w:val="clear" w:color="auto" w:fill="D9D9D9" w:themeFill="background1" w:themeFillShade="D9"/>
                </w:tcPr>
                <w:p w14:paraId="3D2D43A5" w14:textId="77777777" w:rsidR="002F7027" w:rsidRPr="00AD1D32" w:rsidRDefault="002F7027" w:rsidP="002F7027">
                  <w:pPr>
                    <w:pStyle w:val="TableContents"/>
                    <w:rPr>
                      <w:rFonts w:ascii="Calibri" w:hAnsi="Calibri" w:cs="Calibri"/>
                      <w:b/>
                      <w:bCs/>
                      <w:color w:val="808080" w:themeColor="background1" w:themeShade="80"/>
                      <w:sz w:val="24"/>
                      <w:szCs w:val="24"/>
                    </w:rPr>
                  </w:pPr>
                  <w:r w:rsidRPr="00AD1D32">
                    <w:rPr>
                      <w:rFonts w:ascii="Calibri" w:hAnsi="Calibri" w:cs="Calibri"/>
                      <w:b/>
                      <w:bCs/>
                      <w:color w:val="808080" w:themeColor="background1" w:themeShade="80"/>
                      <w:sz w:val="24"/>
                      <w:szCs w:val="24"/>
                    </w:rPr>
                    <w:t>Antal</w:t>
                  </w:r>
                </w:p>
              </w:tc>
            </w:tr>
            <w:tr w:rsidR="002F7027" w14:paraId="3460A5EA" w14:textId="77777777" w:rsidTr="008F30CF">
              <w:tc>
                <w:tcPr>
                  <w:tcW w:w="5245" w:type="dxa"/>
                </w:tcPr>
                <w:p w14:paraId="7BE0299C" w14:textId="77777777" w:rsidR="002F7027" w:rsidRPr="008F30CF" w:rsidRDefault="002F7027" w:rsidP="002F7027">
                  <w:pPr>
                    <w:pStyle w:val="TableContents"/>
                    <w:rPr>
                      <w:rFonts w:ascii="Calibri" w:hAnsi="Calibri"/>
                      <w:color w:val="808080" w:themeColor="background1" w:themeShade="80"/>
                      <w:sz w:val="24"/>
                      <w:szCs w:val="24"/>
                    </w:rPr>
                  </w:pPr>
                  <w:r w:rsidRPr="008F30CF">
                    <w:rPr>
                      <w:rFonts w:ascii="Calibri" w:hAnsi="Calibri"/>
                      <w:color w:val="808080" w:themeColor="background1" w:themeShade="80"/>
                      <w:sz w:val="24"/>
                      <w:szCs w:val="24"/>
                    </w:rPr>
                    <w:t>Overtrædelse af EU ret</w:t>
                  </w:r>
                </w:p>
              </w:tc>
              <w:tc>
                <w:tcPr>
                  <w:tcW w:w="1276" w:type="dxa"/>
                </w:tcPr>
                <w:p w14:paraId="61A93B9B" w14:textId="77777777" w:rsidR="002F7027" w:rsidRPr="008F30CF" w:rsidRDefault="00DD62C6" w:rsidP="002F7027">
                  <w:pPr>
                    <w:pStyle w:val="TableContents"/>
                    <w:jc w:val="center"/>
                    <w:rPr>
                      <w:rFonts w:ascii="Calibri" w:hAnsi="Calibri"/>
                      <w:color w:val="808080" w:themeColor="background1" w:themeShade="80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  <w:color w:val="808080" w:themeColor="background1" w:themeShade="80"/>
                      <w:sz w:val="24"/>
                      <w:szCs w:val="24"/>
                    </w:rPr>
                    <w:t>0</w:t>
                  </w:r>
                </w:p>
              </w:tc>
            </w:tr>
            <w:tr w:rsidR="002F7027" w14:paraId="1D28D981" w14:textId="77777777" w:rsidTr="008F30CF">
              <w:tc>
                <w:tcPr>
                  <w:tcW w:w="5245" w:type="dxa"/>
                </w:tcPr>
                <w:p w14:paraId="7AC9DE77" w14:textId="77777777" w:rsidR="002F7027" w:rsidRPr="008F30CF" w:rsidRDefault="002F7027" w:rsidP="002F7027">
                  <w:pPr>
                    <w:pStyle w:val="TableContents"/>
                    <w:rPr>
                      <w:color w:val="808080" w:themeColor="background1" w:themeShade="80"/>
                    </w:rPr>
                  </w:pPr>
                  <w:r w:rsidRPr="008F30CF">
                    <w:rPr>
                      <w:rFonts w:ascii="Calibri" w:hAnsi="Calibri"/>
                      <w:color w:val="808080" w:themeColor="background1" w:themeShade="80"/>
                      <w:sz w:val="24"/>
                      <w:szCs w:val="24"/>
                    </w:rPr>
                    <w:lastRenderedPageBreak/>
                    <w:t>Overtrædelse af dansk strafferet</w:t>
                  </w:r>
                </w:p>
              </w:tc>
              <w:tc>
                <w:tcPr>
                  <w:tcW w:w="1276" w:type="dxa"/>
                </w:tcPr>
                <w:p w14:paraId="2D6880FB" w14:textId="77777777" w:rsidR="002F7027" w:rsidRPr="008F30CF" w:rsidRDefault="00DD62C6" w:rsidP="002F7027">
                  <w:pPr>
                    <w:pStyle w:val="TableContents"/>
                    <w:jc w:val="center"/>
                    <w:rPr>
                      <w:rFonts w:ascii="Calibri" w:hAnsi="Calibri"/>
                      <w:color w:val="808080" w:themeColor="background1" w:themeShade="80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  <w:color w:val="808080" w:themeColor="background1" w:themeShade="80"/>
                      <w:sz w:val="24"/>
                      <w:szCs w:val="24"/>
                    </w:rPr>
                    <w:t>0</w:t>
                  </w:r>
                </w:p>
              </w:tc>
            </w:tr>
            <w:tr w:rsidR="002F7027" w14:paraId="37754ED4" w14:textId="77777777" w:rsidTr="008F30CF">
              <w:tc>
                <w:tcPr>
                  <w:tcW w:w="5245" w:type="dxa"/>
                </w:tcPr>
                <w:p w14:paraId="432CE5CE" w14:textId="77777777" w:rsidR="002F7027" w:rsidRPr="008F30CF" w:rsidRDefault="002F7027" w:rsidP="002F7027">
                  <w:pPr>
                    <w:pStyle w:val="TableContents"/>
                    <w:rPr>
                      <w:rFonts w:ascii="Calibri" w:hAnsi="Calibri"/>
                      <w:color w:val="808080" w:themeColor="background1" w:themeShade="80"/>
                      <w:sz w:val="24"/>
                      <w:szCs w:val="24"/>
                    </w:rPr>
                  </w:pPr>
                  <w:r w:rsidRPr="008F30CF">
                    <w:rPr>
                      <w:rFonts w:ascii="Calibri" w:hAnsi="Calibri"/>
                      <w:color w:val="808080" w:themeColor="background1" w:themeShade="80"/>
                      <w:sz w:val="24"/>
                      <w:szCs w:val="24"/>
                    </w:rPr>
                    <w:t>Overtrædelse af sær- eller anden lovgivning</w:t>
                  </w:r>
                </w:p>
              </w:tc>
              <w:tc>
                <w:tcPr>
                  <w:tcW w:w="1276" w:type="dxa"/>
                </w:tcPr>
                <w:p w14:paraId="2C78F5AA" w14:textId="77777777" w:rsidR="002F7027" w:rsidRPr="008F30CF" w:rsidRDefault="00DD62C6" w:rsidP="002F7027">
                  <w:pPr>
                    <w:pStyle w:val="TableContents"/>
                    <w:jc w:val="center"/>
                    <w:rPr>
                      <w:rFonts w:ascii="Calibri" w:hAnsi="Calibri"/>
                      <w:color w:val="808080" w:themeColor="background1" w:themeShade="80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  <w:color w:val="808080" w:themeColor="background1" w:themeShade="80"/>
                      <w:sz w:val="24"/>
                      <w:szCs w:val="24"/>
                    </w:rPr>
                    <w:t>0</w:t>
                  </w:r>
                </w:p>
              </w:tc>
            </w:tr>
            <w:tr w:rsidR="002F7027" w14:paraId="7DB64AF9" w14:textId="77777777" w:rsidTr="008F30CF">
              <w:tc>
                <w:tcPr>
                  <w:tcW w:w="5245" w:type="dxa"/>
                </w:tcPr>
                <w:p w14:paraId="2A5DED37" w14:textId="77777777" w:rsidR="002F7027" w:rsidRPr="008F30CF" w:rsidRDefault="002F7027" w:rsidP="002F7027">
                  <w:pPr>
                    <w:pStyle w:val="TableContents"/>
                    <w:rPr>
                      <w:rFonts w:ascii="Calibri" w:hAnsi="Calibri"/>
                      <w:color w:val="808080" w:themeColor="background1" w:themeShade="80"/>
                      <w:sz w:val="24"/>
                      <w:szCs w:val="24"/>
                    </w:rPr>
                  </w:pPr>
                  <w:r w:rsidRPr="008F30CF">
                    <w:rPr>
                      <w:rFonts w:ascii="Calibri" w:hAnsi="Calibri"/>
                      <w:color w:val="808080" w:themeColor="background1" w:themeShade="80"/>
                      <w:sz w:val="24"/>
                      <w:szCs w:val="24"/>
                    </w:rPr>
                    <w:t>Chikane</w:t>
                  </w:r>
                </w:p>
              </w:tc>
              <w:tc>
                <w:tcPr>
                  <w:tcW w:w="1276" w:type="dxa"/>
                </w:tcPr>
                <w:p w14:paraId="7062146B" w14:textId="77777777" w:rsidR="002F7027" w:rsidRPr="008F30CF" w:rsidRDefault="00DD62C6" w:rsidP="002F7027">
                  <w:pPr>
                    <w:pStyle w:val="TableContents"/>
                    <w:jc w:val="center"/>
                    <w:rPr>
                      <w:rFonts w:ascii="Calibri" w:hAnsi="Calibri"/>
                      <w:color w:val="808080" w:themeColor="background1" w:themeShade="80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  <w:color w:val="808080" w:themeColor="background1" w:themeShade="80"/>
                      <w:sz w:val="24"/>
                      <w:szCs w:val="24"/>
                    </w:rPr>
                    <w:t>0</w:t>
                  </w:r>
                </w:p>
              </w:tc>
            </w:tr>
            <w:tr w:rsidR="002F7027" w14:paraId="338D190E" w14:textId="77777777" w:rsidTr="008F30CF">
              <w:tc>
                <w:tcPr>
                  <w:tcW w:w="5245" w:type="dxa"/>
                </w:tcPr>
                <w:p w14:paraId="55672745" w14:textId="77777777" w:rsidR="002F7027" w:rsidRPr="008F30CF" w:rsidRDefault="002F7027" w:rsidP="002F7027">
                  <w:pPr>
                    <w:pStyle w:val="TableContents"/>
                    <w:rPr>
                      <w:color w:val="808080" w:themeColor="background1" w:themeShade="80"/>
                    </w:rPr>
                  </w:pPr>
                  <w:r w:rsidRPr="008F30CF">
                    <w:rPr>
                      <w:rFonts w:ascii="Calibri" w:hAnsi="Calibri"/>
                      <w:color w:val="808080" w:themeColor="background1" w:themeShade="80"/>
                      <w:sz w:val="24"/>
                      <w:szCs w:val="24"/>
                    </w:rPr>
                    <w:t>Øvrige alvorlige forhold</w:t>
                  </w:r>
                </w:p>
              </w:tc>
              <w:tc>
                <w:tcPr>
                  <w:tcW w:w="1276" w:type="dxa"/>
                </w:tcPr>
                <w:p w14:paraId="715A62CC" w14:textId="77777777" w:rsidR="002F7027" w:rsidRPr="008F30CF" w:rsidRDefault="00DD62C6" w:rsidP="002F7027">
                  <w:pPr>
                    <w:pStyle w:val="TableContents"/>
                    <w:jc w:val="center"/>
                    <w:rPr>
                      <w:rFonts w:ascii="Calibri" w:hAnsi="Calibri"/>
                      <w:color w:val="808080" w:themeColor="background1" w:themeShade="80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  <w:color w:val="808080" w:themeColor="background1" w:themeShade="80"/>
                      <w:sz w:val="24"/>
                      <w:szCs w:val="24"/>
                    </w:rPr>
                    <w:t>0</w:t>
                  </w:r>
                </w:p>
              </w:tc>
            </w:tr>
            <w:tr w:rsidR="002F7027" w14:paraId="756DE8D4" w14:textId="77777777" w:rsidTr="008F30CF">
              <w:tc>
                <w:tcPr>
                  <w:tcW w:w="5245" w:type="dxa"/>
                </w:tcPr>
                <w:p w14:paraId="47070C1F" w14:textId="77777777" w:rsidR="002F7027" w:rsidRPr="008F30CF" w:rsidRDefault="002F7027" w:rsidP="002F7027">
                  <w:pPr>
                    <w:pStyle w:val="TableContents"/>
                    <w:rPr>
                      <w:rFonts w:ascii="Calibri" w:hAnsi="Calibri"/>
                      <w:color w:val="808080" w:themeColor="background1" w:themeShade="80"/>
                      <w:sz w:val="24"/>
                      <w:szCs w:val="24"/>
                    </w:rPr>
                  </w:pPr>
                  <w:r w:rsidRPr="008F30CF">
                    <w:rPr>
                      <w:rFonts w:ascii="Calibri" w:hAnsi="Calibri"/>
                      <w:color w:val="808080" w:themeColor="background1" w:themeShade="80"/>
                      <w:sz w:val="24"/>
                      <w:szCs w:val="24"/>
                    </w:rPr>
                    <w:t>Indgivet politianmeldelse</w:t>
                  </w:r>
                </w:p>
              </w:tc>
              <w:tc>
                <w:tcPr>
                  <w:tcW w:w="1276" w:type="dxa"/>
                </w:tcPr>
                <w:p w14:paraId="7468D986" w14:textId="77777777" w:rsidR="002F7027" w:rsidRPr="008F30CF" w:rsidRDefault="00DD62C6" w:rsidP="002F7027">
                  <w:pPr>
                    <w:pStyle w:val="TableContents"/>
                    <w:jc w:val="center"/>
                    <w:rPr>
                      <w:rFonts w:ascii="Calibri" w:hAnsi="Calibri"/>
                      <w:color w:val="808080" w:themeColor="background1" w:themeShade="80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  <w:color w:val="808080" w:themeColor="background1" w:themeShade="80"/>
                      <w:sz w:val="24"/>
                      <w:szCs w:val="24"/>
                    </w:rPr>
                    <w:t>0</w:t>
                  </w:r>
                </w:p>
              </w:tc>
            </w:tr>
          </w:tbl>
          <w:p w14:paraId="148A16A9" w14:textId="77777777" w:rsidR="002F7027" w:rsidRDefault="00064EE3">
            <w:pPr>
              <w:pStyle w:val="TableContents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 xml:space="preserve">  </w:t>
            </w:r>
          </w:p>
        </w:tc>
        <w:tc>
          <w:tcPr>
            <w:tcW w:w="11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0941ECC" w14:textId="77777777" w:rsidR="00A137A2" w:rsidRDefault="00E87485">
            <w:pPr>
              <w:pStyle w:val="TableContents"/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lastRenderedPageBreak/>
              <w:t>0</w:t>
            </w:r>
          </w:p>
        </w:tc>
      </w:tr>
      <w:tr w:rsidR="00A137A2" w14:paraId="1FE5176E" w14:textId="77777777">
        <w:tc>
          <w:tcPr>
            <w:tcW w:w="7826" w:type="dxa"/>
            <w:gridSpan w:val="4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312123" w14:textId="77777777" w:rsidR="00A137A2" w:rsidRDefault="008A2625">
            <w:pPr>
              <w:pStyle w:val="TableContents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Uafsluttede indberetninger, der fortsat behandles</w:t>
            </w:r>
          </w:p>
        </w:tc>
        <w:tc>
          <w:tcPr>
            <w:tcW w:w="11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9D0F21D" w14:textId="77777777" w:rsidR="00A137A2" w:rsidRDefault="00DD62C6">
            <w:pPr>
              <w:pStyle w:val="TableContents"/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0</w:t>
            </w:r>
          </w:p>
        </w:tc>
      </w:tr>
      <w:tr w:rsidR="00A137A2" w14:paraId="24236778" w14:textId="77777777">
        <w:tc>
          <w:tcPr>
            <w:tcW w:w="9018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2C0A915" w14:textId="52E537B5" w:rsidR="00A137A2" w:rsidRDefault="00DD62C6">
            <w:pPr>
              <w:pStyle w:val="TableContents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 xml:space="preserve">De </w:t>
            </w:r>
            <w:r w:rsidR="00615FB1">
              <w:rPr>
                <w:rFonts w:ascii="Calibri" w:hAnsi="Calibri"/>
                <w:sz w:val="24"/>
                <w:szCs w:val="24"/>
              </w:rPr>
              <w:t>5</w:t>
            </w:r>
            <w:r>
              <w:rPr>
                <w:rFonts w:ascii="Calibri" w:hAnsi="Calibri"/>
                <w:sz w:val="24"/>
                <w:szCs w:val="24"/>
              </w:rPr>
              <w:t xml:space="preserve"> indbe</w:t>
            </w:r>
            <w:r w:rsidR="00C86988">
              <w:rPr>
                <w:rFonts w:ascii="Calibri" w:hAnsi="Calibri"/>
                <w:sz w:val="24"/>
                <w:szCs w:val="24"/>
              </w:rPr>
              <w:t>ret</w:t>
            </w:r>
            <w:r>
              <w:rPr>
                <w:rFonts w:ascii="Calibri" w:hAnsi="Calibri"/>
                <w:sz w:val="24"/>
                <w:szCs w:val="24"/>
              </w:rPr>
              <w:t xml:space="preserve">ninger er bekymringshenvendelser om forhold i sundhedsvæsenet og plejesektoren, der </w:t>
            </w:r>
            <w:r w:rsidR="00C86988">
              <w:rPr>
                <w:rFonts w:ascii="Calibri" w:hAnsi="Calibri"/>
                <w:sz w:val="24"/>
                <w:szCs w:val="24"/>
              </w:rPr>
              <w:t xml:space="preserve">ved en fejl er sendt </w:t>
            </w:r>
            <w:r>
              <w:rPr>
                <w:rFonts w:ascii="Calibri" w:hAnsi="Calibri"/>
                <w:sz w:val="24"/>
                <w:szCs w:val="24"/>
              </w:rPr>
              <w:t xml:space="preserve">til </w:t>
            </w:r>
            <w:r w:rsidR="00C86988">
              <w:rPr>
                <w:rFonts w:ascii="Calibri" w:hAnsi="Calibri"/>
                <w:sz w:val="24"/>
                <w:szCs w:val="24"/>
              </w:rPr>
              <w:t>s</w:t>
            </w:r>
            <w:r>
              <w:rPr>
                <w:rFonts w:ascii="Calibri" w:hAnsi="Calibri"/>
                <w:sz w:val="24"/>
                <w:szCs w:val="24"/>
              </w:rPr>
              <w:t>tyrelsen</w:t>
            </w:r>
            <w:r w:rsidR="00C86988">
              <w:rPr>
                <w:rFonts w:ascii="Calibri" w:hAnsi="Calibri"/>
                <w:sz w:val="24"/>
                <w:szCs w:val="24"/>
              </w:rPr>
              <w:t>s</w:t>
            </w:r>
            <w:r>
              <w:rPr>
                <w:rFonts w:ascii="Calibri" w:hAnsi="Calibri"/>
                <w:sz w:val="24"/>
                <w:szCs w:val="24"/>
              </w:rPr>
              <w:t xml:space="preserve"> whistleblowerordning. </w:t>
            </w:r>
            <w:r w:rsidR="00C86988">
              <w:rPr>
                <w:rFonts w:ascii="Calibri" w:hAnsi="Calibri"/>
                <w:sz w:val="24"/>
                <w:szCs w:val="24"/>
              </w:rPr>
              <w:t>Afsenderne er informeret om, at deres henvendelser er videresendt til rette enheder i styrelsen, der behandler bekymringshenven</w:t>
            </w:r>
            <w:r w:rsidR="00E94142">
              <w:rPr>
                <w:rFonts w:ascii="Calibri" w:hAnsi="Calibri"/>
                <w:sz w:val="24"/>
                <w:szCs w:val="24"/>
              </w:rPr>
              <w:t>d</w:t>
            </w:r>
            <w:r w:rsidR="00C86988">
              <w:rPr>
                <w:rFonts w:ascii="Calibri" w:hAnsi="Calibri"/>
                <w:sz w:val="24"/>
                <w:szCs w:val="24"/>
              </w:rPr>
              <w:t xml:space="preserve">elser. </w:t>
            </w:r>
            <w:r w:rsidR="00B1535A">
              <w:rPr>
                <w:rFonts w:ascii="Calibri" w:hAnsi="Calibri"/>
                <w:sz w:val="24"/>
                <w:szCs w:val="24"/>
              </w:rPr>
              <w:t xml:space="preserve"> </w:t>
            </w:r>
            <w:r w:rsidR="008A2625">
              <w:rPr>
                <w:rFonts w:ascii="Calibri" w:hAnsi="Calibri"/>
                <w:sz w:val="24"/>
                <w:szCs w:val="24"/>
              </w:rPr>
              <w:br/>
            </w:r>
          </w:p>
        </w:tc>
      </w:tr>
    </w:tbl>
    <w:p w14:paraId="7D451C17" w14:textId="77777777" w:rsidR="00A137A2" w:rsidRDefault="00A137A2">
      <w:pPr>
        <w:pStyle w:val="StandardWW"/>
        <w:rPr>
          <w:rFonts w:ascii="Calibri" w:hAnsi="Calibri" w:cs="Times New Roman"/>
          <w:bCs/>
          <w:color w:val="2E74B5"/>
          <w:sz w:val="24"/>
          <w:szCs w:val="24"/>
        </w:rPr>
      </w:pPr>
    </w:p>
    <w:p w14:paraId="5F5392B8" w14:textId="77777777" w:rsidR="00A137A2" w:rsidRDefault="00A137A2">
      <w:pPr>
        <w:pStyle w:val="TextbodyWW"/>
      </w:pPr>
    </w:p>
    <w:p w14:paraId="24307A22" w14:textId="77777777" w:rsidR="00A137A2" w:rsidRDefault="00A137A2">
      <w:pPr>
        <w:pStyle w:val="StandardWW"/>
        <w:rPr>
          <w:rFonts w:ascii="Calibri" w:hAnsi="Calibri" w:cs="Times New Roman"/>
          <w:bCs/>
          <w:color w:val="2E74B5"/>
          <w:sz w:val="24"/>
          <w:szCs w:val="24"/>
        </w:rPr>
      </w:pPr>
    </w:p>
    <w:tbl>
      <w:tblPr>
        <w:tblW w:w="9073" w:type="dxa"/>
        <w:tblInd w:w="-17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043"/>
        <w:gridCol w:w="2030"/>
      </w:tblGrid>
      <w:tr w:rsidR="00A137A2" w14:paraId="4FB8F63F" w14:textId="77777777">
        <w:trPr>
          <w:trHeight w:val="471"/>
          <w:tblHeader/>
        </w:trPr>
        <w:tc>
          <w:tcPr>
            <w:tcW w:w="90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14:paraId="72CA234B" w14:textId="77777777" w:rsidR="00A137A2" w:rsidRPr="000B72F0" w:rsidRDefault="008A2625">
            <w:pPr>
              <w:pStyle w:val="TableContents"/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Sagsbe</w:t>
            </w:r>
            <w:r w:rsidR="00064EE3">
              <w:rPr>
                <w:rFonts w:ascii="Calibri" w:hAnsi="Calibri" w:cs="Calibri"/>
                <w:b/>
                <w:bCs/>
                <w:sz w:val="24"/>
                <w:szCs w:val="24"/>
              </w:rPr>
              <w:t>handling</w:t>
            </w:r>
          </w:p>
        </w:tc>
      </w:tr>
      <w:tr w:rsidR="00A137A2" w14:paraId="7FFAC89A" w14:textId="77777777">
        <w:tc>
          <w:tcPr>
            <w:tcW w:w="7043" w:type="dxa"/>
            <w:tcBorders>
              <w:left w:val="single" w:sz="4" w:space="0" w:color="000000"/>
              <w:bottom w:val="single" w:sz="4" w:space="0" w:color="000000"/>
            </w:tcBorders>
          </w:tcPr>
          <w:p w14:paraId="05CBAE6D" w14:textId="77777777" w:rsidR="00A137A2" w:rsidRDefault="008A2625">
            <w:pPr>
              <w:pStyle w:val="TableContents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Alle indberetninger er bekræftet indenfor 7 dage</w:t>
            </w:r>
          </w:p>
        </w:tc>
        <w:tc>
          <w:tcPr>
            <w:tcW w:w="20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EF2F69" w14:textId="77777777" w:rsidR="00A137A2" w:rsidRDefault="00043BBE">
            <w:pPr>
              <w:pStyle w:val="TableContents"/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Ja</w:t>
            </w:r>
          </w:p>
        </w:tc>
      </w:tr>
      <w:tr w:rsidR="00A137A2" w14:paraId="1FE0E7DA" w14:textId="77777777">
        <w:tc>
          <w:tcPr>
            <w:tcW w:w="7043" w:type="dxa"/>
            <w:tcBorders>
              <w:left w:val="single" w:sz="4" w:space="0" w:color="000000"/>
              <w:bottom w:val="single" w:sz="4" w:space="0" w:color="000000"/>
            </w:tcBorders>
          </w:tcPr>
          <w:p w14:paraId="52EEA6B8" w14:textId="3E96F56B" w:rsidR="00A137A2" w:rsidRDefault="008A2625">
            <w:pPr>
              <w:pStyle w:val="TableContents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 xml:space="preserve">Alle </w:t>
            </w:r>
            <w:proofErr w:type="spellStart"/>
            <w:r>
              <w:rPr>
                <w:rFonts w:ascii="Calibri" w:hAnsi="Calibri"/>
                <w:sz w:val="24"/>
                <w:szCs w:val="24"/>
              </w:rPr>
              <w:t>indberet</w:t>
            </w:r>
            <w:r w:rsidR="00615FB1">
              <w:rPr>
                <w:rFonts w:ascii="Calibri" w:hAnsi="Calibri"/>
                <w:sz w:val="24"/>
                <w:szCs w:val="24"/>
              </w:rPr>
              <w:t>t</w:t>
            </w:r>
            <w:r>
              <w:rPr>
                <w:rFonts w:ascii="Calibri" w:hAnsi="Calibri"/>
                <w:sz w:val="24"/>
                <w:szCs w:val="24"/>
              </w:rPr>
              <w:t>ere</w:t>
            </w:r>
            <w:proofErr w:type="spellEnd"/>
            <w:r>
              <w:rPr>
                <w:rFonts w:ascii="Calibri" w:hAnsi="Calibri"/>
                <w:sz w:val="24"/>
                <w:szCs w:val="24"/>
              </w:rPr>
              <w:t xml:space="preserve"> modtog feedback indenfor 3 måneder</w:t>
            </w:r>
          </w:p>
        </w:tc>
        <w:tc>
          <w:tcPr>
            <w:tcW w:w="20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7EB48A" w14:textId="77777777" w:rsidR="00A137A2" w:rsidRDefault="00043BBE">
            <w:pPr>
              <w:pStyle w:val="TableContents"/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Ja</w:t>
            </w:r>
          </w:p>
        </w:tc>
      </w:tr>
    </w:tbl>
    <w:p w14:paraId="122B683F" w14:textId="77777777" w:rsidR="00A137A2" w:rsidRDefault="00A137A2">
      <w:pPr>
        <w:pStyle w:val="StandardWW"/>
        <w:rPr>
          <w:rFonts w:ascii="Calibri" w:hAnsi="Calibri"/>
          <w:sz w:val="24"/>
          <w:szCs w:val="24"/>
        </w:rPr>
      </w:pPr>
    </w:p>
    <w:p w14:paraId="264AE865" w14:textId="77777777" w:rsidR="00A137A2" w:rsidRDefault="00A137A2">
      <w:pPr>
        <w:pStyle w:val="StandardWW"/>
        <w:rPr>
          <w:rFonts w:ascii="Calibri" w:hAnsi="Calibri"/>
          <w:sz w:val="24"/>
          <w:szCs w:val="24"/>
        </w:rPr>
      </w:pPr>
    </w:p>
    <w:p w14:paraId="22C22450" w14:textId="77777777" w:rsidR="00A137A2" w:rsidRDefault="008A2625">
      <w:pPr>
        <w:pStyle w:val="StandardWW"/>
        <w:rPr>
          <w:rFonts w:ascii="Calibri" w:hAnsi="Calibri"/>
          <w:b/>
          <w:bCs/>
          <w:sz w:val="24"/>
          <w:szCs w:val="24"/>
        </w:rPr>
      </w:pPr>
      <w:r>
        <w:rPr>
          <w:rFonts w:ascii="Calibri" w:hAnsi="Calibri"/>
          <w:b/>
          <w:bCs/>
          <w:sz w:val="24"/>
          <w:szCs w:val="24"/>
        </w:rPr>
        <w:t>Lovgrundlag</w:t>
      </w:r>
    </w:p>
    <w:p w14:paraId="0CF7DEB1" w14:textId="77777777" w:rsidR="00A137A2" w:rsidRDefault="008A2625">
      <w:pPr>
        <w:pStyle w:val="StandardWW"/>
      </w:pPr>
      <w:r>
        <w:rPr>
          <w:rFonts w:ascii="Calibri" w:hAnsi="Calibri"/>
          <w:sz w:val="24"/>
          <w:szCs w:val="24"/>
        </w:rPr>
        <w:t>Lov om beskyttelse af whistleblowere (</w:t>
      </w:r>
      <w:hyperlink r:id="rId9">
        <w:r>
          <w:rPr>
            <w:rFonts w:ascii="Calibri" w:hAnsi="Calibri"/>
            <w:sz w:val="24"/>
            <w:szCs w:val="24"/>
          </w:rPr>
          <w:t xml:space="preserve">LOV </w:t>
        </w:r>
        <w:proofErr w:type="spellStart"/>
        <w:r>
          <w:rPr>
            <w:rFonts w:ascii="Calibri" w:hAnsi="Calibri"/>
            <w:sz w:val="24"/>
            <w:szCs w:val="24"/>
          </w:rPr>
          <w:t>nr</w:t>
        </w:r>
        <w:proofErr w:type="spellEnd"/>
        <w:r>
          <w:rPr>
            <w:rFonts w:ascii="Calibri" w:hAnsi="Calibri"/>
            <w:sz w:val="24"/>
            <w:szCs w:val="24"/>
          </w:rPr>
          <w:t xml:space="preserve"> 1436 af 29/06/2021</w:t>
        </w:r>
      </w:hyperlink>
      <w:r>
        <w:rPr>
          <w:rFonts w:ascii="Calibri" w:hAnsi="Calibri"/>
          <w:sz w:val="24"/>
          <w:szCs w:val="24"/>
        </w:rPr>
        <w:t>)</w:t>
      </w:r>
    </w:p>
    <w:p w14:paraId="1C26E6AC" w14:textId="77777777" w:rsidR="00A137A2" w:rsidRDefault="008A2625">
      <w:pPr>
        <w:pStyle w:val="StandardWW"/>
      </w:pPr>
      <w:r>
        <w:rPr>
          <w:rFonts w:ascii="Calibri" w:hAnsi="Calibri"/>
          <w:sz w:val="24"/>
          <w:szCs w:val="24"/>
        </w:rPr>
        <w:t>Vejledning for whistleblowere (</w:t>
      </w:r>
      <w:hyperlink r:id="rId10">
        <w:r>
          <w:rPr>
            <w:rFonts w:ascii="Calibri" w:hAnsi="Calibri"/>
            <w:sz w:val="24"/>
            <w:szCs w:val="24"/>
          </w:rPr>
          <w:t xml:space="preserve">VEJ </w:t>
        </w:r>
        <w:proofErr w:type="spellStart"/>
        <w:r>
          <w:rPr>
            <w:rFonts w:ascii="Calibri" w:hAnsi="Calibri"/>
            <w:sz w:val="24"/>
            <w:szCs w:val="24"/>
          </w:rPr>
          <w:t>nr</w:t>
        </w:r>
        <w:proofErr w:type="spellEnd"/>
        <w:r>
          <w:rPr>
            <w:rFonts w:ascii="Calibri" w:hAnsi="Calibri"/>
            <w:sz w:val="24"/>
            <w:szCs w:val="24"/>
          </w:rPr>
          <w:t xml:space="preserve"> 9248 af 16/12/2021</w:t>
        </w:r>
      </w:hyperlink>
      <w:r>
        <w:rPr>
          <w:rFonts w:ascii="Calibri" w:hAnsi="Calibri"/>
          <w:sz w:val="24"/>
          <w:szCs w:val="24"/>
        </w:rPr>
        <w:t>)</w:t>
      </w:r>
    </w:p>
    <w:p w14:paraId="1B6C1B12" w14:textId="77777777" w:rsidR="00A137A2" w:rsidRDefault="008A2625">
      <w:pPr>
        <w:pStyle w:val="StandardWW"/>
      </w:pPr>
      <w:r>
        <w:rPr>
          <w:rFonts w:ascii="Calibri" w:hAnsi="Calibri"/>
          <w:sz w:val="24"/>
          <w:szCs w:val="24"/>
        </w:rPr>
        <w:t>Vejledning for whistleblowerordninger på offentlige arbejdspladser (</w:t>
      </w:r>
      <w:hyperlink r:id="rId11">
        <w:r>
          <w:rPr>
            <w:rFonts w:ascii="Calibri" w:hAnsi="Calibri"/>
            <w:sz w:val="24"/>
            <w:szCs w:val="24"/>
          </w:rPr>
          <w:t xml:space="preserve">VEJ </w:t>
        </w:r>
        <w:proofErr w:type="spellStart"/>
        <w:r>
          <w:rPr>
            <w:rFonts w:ascii="Calibri" w:hAnsi="Calibri"/>
            <w:sz w:val="24"/>
            <w:szCs w:val="24"/>
          </w:rPr>
          <w:t>nr</w:t>
        </w:r>
        <w:proofErr w:type="spellEnd"/>
        <w:r>
          <w:rPr>
            <w:rFonts w:ascii="Calibri" w:hAnsi="Calibri"/>
            <w:sz w:val="24"/>
            <w:szCs w:val="24"/>
          </w:rPr>
          <w:t xml:space="preserve"> 9249 af 16/12/2021</w:t>
        </w:r>
      </w:hyperlink>
      <w:r>
        <w:rPr>
          <w:rFonts w:ascii="Calibri" w:hAnsi="Calibri"/>
          <w:sz w:val="24"/>
          <w:szCs w:val="24"/>
        </w:rPr>
        <w:t>)</w:t>
      </w:r>
    </w:p>
    <w:p w14:paraId="1D573910" w14:textId="77777777" w:rsidR="00A137A2" w:rsidRDefault="008A2625">
      <w:pPr>
        <w:pStyle w:val="StandardWW"/>
      </w:pPr>
      <w:r>
        <w:rPr>
          <w:rFonts w:ascii="Calibri" w:hAnsi="Calibri"/>
          <w:sz w:val="24"/>
          <w:szCs w:val="24"/>
        </w:rPr>
        <w:t>Vejledning af whistleblowerordninger på private arbejdspladser (</w:t>
      </w:r>
      <w:hyperlink r:id="rId12">
        <w:r>
          <w:rPr>
            <w:rFonts w:ascii="Calibri" w:hAnsi="Calibri"/>
            <w:sz w:val="24"/>
            <w:szCs w:val="24"/>
          </w:rPr>
          <w:t xml:space="preserve">VEJ </w:t>
        </w:r>
        <w:proofErr w:type="spellStart"/>
        <w:r>
          <w:rPr>
            <w:rFonts w:ascii="Calibri" w:hAnsi="Calibri"/>
            <w:sz w:val="24"/>
            <w:szCs w:val="24"/>
          </w:rPr>
          <w:t>nr</w:t>
        </w:r>
        <w:proofErr w:type="spellEnd"/>
        <w:r>
          <w:rPr>
            <w:rFonts w:ascii="Calibri" w:hAnsi="Calibri"/>
            <w:sz w:val="24"/>
            <w:szCs w:val="24"/>
          </w:rPr>
          <w:t xml:space="preserve"> 9250 af 16/12/2021</w:t>
        </w:r>
      </w:hyperlink>
      <w:r>
        <w:rPr>
          <w:rFonts w:ascii="Calibri" w:hAnsi="Calibri"/>
          <w:sz w:val="24"/>
          <w:szCs w:val="24"/>
        </w:rPr>
        <w:t>)</w:t>
      </w:r>
    </w:p>
    <w:p w14:paraId="3634E524" w14:textId="77777777" w:rsidR="00A137A2" w:rsidRDefault="00A137A2">
      <w:pPr>
        <w:pStyle w:val="StandardWW"/>
        <w:rPr>
          <w:rFonts w:ascii="Calibri" w:hAnsi="Calibri"/>
          <w:sz w:val="24"/>
          <w:szCs w:val="24"/>
        </w:rPr>
      </w:pPr>
    </w:p>
    <w:p w14:paraId="2647771D" w14:textId="77777777" w:rsidR="00A137A2" w:rsidRPr="002F7027" w:rsidRDefault="008A2625">
      <w:pPr>
        <w:pStyle w:val="StandardWW"/>
        <w:rPr>
          <w:rFonts w:ascii="Calibri" w:hAnsi="Calibri"/>
          <w:sz w:val="16"/>
          <w:szCs w:val="16"/>
        </w:rPr>
      </w:pPr>
      <w:r>
        <w:rPr>
          <w:rFonts w:ascii="Calibri" w:hAnsi="Calibri"/>
          <w:sz w:val="16"/>
          <w:szCs w:val="16"/>
        </w:rPr>
        <w:lastRenderedPageBreak/>
        <w:t xml:space="preserve">(Udgivet af </w:t>
      </w:r>
      <w:proofErr w:type="spellStart"/>
      <w:r>
        <w:rPr>
          <w:rFonts w:ascii="Calibri" w:hAnsi="Calibri"/>
          <w:sz w:val="16"/>
          <w:szCs w:val="16"/>
        </w:rPr>
        <w:t>Transpareny</w:t>
      </w:r>
      <w:proofErr w:type="spellEnd"/>
      <w:r>
        <w:rPr>
          <w:rFonts w:ascii="Calibri" w:hAnsi="Calibri"/>
          <w:sz w:val="16"/>
          <w:szCs w:val="16"/>
        </w:rPr>
        <w:t xml:space="preserve"> Inter</w:t>
      </w:r>
      <w:r w:rsidR="00AD1D32">
        <w:rPr>
          <w:rFonts w:ascii="Calibri" w:hAnsi="Calibri"/>
          <w:sz w:val="16"/>
          <w:szCs w:val="16"/>
        </w:rPr>
        <w:t xml:space="preserve">national </w:t>
      </w:r>
      <w:proofErr w:type="gramStart"/>
      <w:r w:rsidR="00AD1D32">
        <w:rPr>
          <w:rFonts w:ascii="Calibri" w:hAnsi="Calibri"/>
          <w:sz w:val="16"/>
          <w:szCs w:val="16"/>
        </w:rPr>
        <w:t>Danmark,  oktober</w:t>
      </w:r>
      <w:proofErr w:type="gramEnd"/>
      <w:r w:rsidR="002F7027">
        <w:rPr>
          <w:rFonts w:ascii="Calibri" w:hAnsi="Calibri"/>
          <w:sz w:val="16"/>
          <w:szCs w:val="16"/>
        </w:rPr>
        <w:t xml:space="preserve">  2024, V1.0</w:t>
      </w:r>
      <w:r>
        <w:rPr>
          <w:rFonts w:ascii="Calibri" w:hAnsi="Calibri"/>
          <w:sz w:val="16"/>
          <w:szCs w:val="16"/>
        </w:rPr>
        <w:t>)</w:t>
      </w:r>
    </w:p>
    <w:sectPr w:rsidR="00A137A2" w:rsidRPr="002F7027">
      <w:headerReference w:type="default" r:id="rId13"/>
      <w:pgSz w:w="11906" w:h="16838"/>
      <w:pgMar w:top="1440" w:right="1440" w:bottom="1440" w:left="1440" w:header="708" w:footer="0" w:gutter="0"/>
      <w:cols w:space="708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FDC216" w14:textId="77777777" w:rsidR="000F3646" w:rsidRDefault="000F3646">
      <w:r>
        <w:separator/>
      </w:r>
    </w:p>
  </w:endnote>
  <w:endnote w:type="continuationSeparator" w:id="0">
    <w:p w14:paraId="27C274BA" w14:textId="77777777" w:rsidR="000F3646" w:rsidRDefault="000F36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33A686" w14:textId="77777777" w:rsidR="000F3646" w:rsidRDefault="000F3646">
      <w:r>
        <w:separator/>
      </w:r>
    </w:p>
  </w:footnote>
  <w:footnote w:type="continuationSeparator" w:id="0">
    <w:p w14:paraId="7166C1E6" w14:textId="77777777" w:rsidR="000F3646" w:rsidRDefault="000F36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393010" w14:textId="77777777" w:rsidR="00A137A2" w:rsidRDefault="00A137A2">
    <w:pPr>
      <w:pStyle w:val="Sidehoved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D10007"/>
    <w:multiLevelType w:val="multilevel"/>
    <w:tmpl w:val="71380C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1304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37A2"/>
    <w:rsid w:val="00043BBE"/>
    <w:rsid w:val="00064EE3"/>
    <w:rsid w:val="000B72F0"/>
    <w:rsid w:val="000C5065"/>
    <w:rsid w:val="000E6833"/>
    <w:rsid w:val="000F3646"/>
    <w:rsid w:val="002216A7"/>
    <w:rsid w:val="002F7027"/>
    <w:rsid w:val="00310BD8"/>
    <w:rsid w:val="00324509"/>
    <w:rsid w:val="00425BC5"/>
    <w:rsid w:val="0042769B"/>
    <w:rsid w:val="005403A8"/>
    <w:rsid w:val="005C35D0"/>
    <w:rsid w:val="005E1A23"/>
    <w:rsid w:val="005E48BA"/>
    <w:rsid w:val="00615FB1"/>
    <w:rsid w:val="00740170"/>
    <w:rsid w:val="00857A4F"/>
    <w:rsid w:val="008A2625"/>
    <w:rsid w:val="008F30CF"/>
    <w:rsid w:val="00903EEA"/>
    <w:rsid w:val="009863A2"/>
    <w:rsid w:val="00A04E5E"/>
    <w:rsid w:val="00A11521"/>
    <w:rsid w:val="00A137A2"/>
    <w:rsid w:val="00AD1A14"/>
    <w:rsid w:val="00AD1D32"/>
    <w:rsid w:val="00B1535A"/>
    <w:rsid w:val="00B45689"/>
    <w:rsid w:val="00B73C2F"/>
    <w:rsid w:val="00C86988"/>
    <w:rsid w:val="00CE52FF"/>
    <w:rsid w:val="00D36C98"/>
    <w:rsid w:val="00D516EC"/>
    <w:rsid w:val="00D73525"/>
    <w:rsid w:val="00DD62C6"/>
    <w:rsid w:val="00E1609E"/>
    <w:rsid w:val="00E87485"/>
    <w:rsid w:val="00E94142"/>
    <w:rsid w:val="00F44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BFB8D3"/>
  <w15:docId w15:val="{7CDBD0CE-6021-4434-917C-7A29809C12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ahoma"/>
        <w:sz w:val="22"/>
        <w:szCs w:val="22"/>
        <w:lang w:val="da-DK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textAlignment w:val="baseline"/>
    </w:pPr>
  </w:style>
  <w:style w:type="paragraph" w:styleId="Overskrift1">
    <w:name w:val="heading 1"/>
    <w:basedOn w:val="StandardWW"/>
    <w:next w:val="StandardWW"/>
    <w:qFormat/>
    <w:pPr>
      <w:keepNext/>
      <w:keepLines/>
      <w:spacing w:before="240" w:after="0"/>
      <w:outlineLvl w:val="0"/>
    </w:pPr>
    <w:rPr>
      <w:rFonts w:ascii="Calibri Light" w:eastAsia="Calibri Light" w:hAnsi="Calibri Light" w:cs="Calibri Light"/>
      <w:color w:val="2E74B5"/>
      <w:sz w:val="32"/>
      <w:szCs w:val="32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DefaultParagraphFontWW">
    <w:name w:val="Default Paragraph Font (WW)"/>
    <w:qFormat/>
  </w:style>
  <w:style w:type="character" w:customStyle="1" w:styleId="DefaultParagraphFontWWWW">
    <w:name w:val="Default Paragraph Font (WW) (WW)"/>
    <w:qFormat/>
  </w:style>
  <w:style w:type="character" w:customStyle="1" w:styleId="HeaderChar">
    <w:name w:val="Header Char"/>
    <w:basedOn w:val="DefaultParagraphFontWWWW"/>
    <w:qFormat/>
  </w:style>
  <w:style w:type="character" w:customStyle="1" w:styleId="FooterChar">
    <w:name w:val="Footer Char"/>
    <w:basedOn w:val="DefaultParagraphFontWWWW"/>
    <w:qFormat/>
  </w:style>
  <w:style w:type="character" w:customStyle="1" w:styleId="InternetlinkWW">
    <w:name w:val="Internet link (WW)"/>
    <w:basedOn w:val="DefaultParagraphFontWWWW"/>
    <w:qFormat/>
    <w:rPr>
      <w:color w:val="0563C1"/>
      <w:u w:val="single"/>
    </w:rPr>
  </w:style>
  <w:style w:type="character" w:styleId="Kommentarhenvisning">
    <w:name w:val="annotation reference"/>
    <w:basedOn w:val="DefaultParagraphFontWWWW"/>
    <w:qFormat/>
    <w:rPr>
      <w:sz w:val="16"/>
      <w:szCs w:val="16"/>
    </w:rPr>
  </w:style>
  <w:style w:type="character" w:customStyle="1" w:styleId="CommentTextChar">
    <w:name w:val="Comment Text Char"/>
    <w:basedOn w:val="DefaultParagraphFontWWWW"/>
    <w:qFormat/>
    <w:rPr>
      <w:sz w:val="20"/>
      <w:szCs w:val="20"/>
    </w:rPr>
  </w:style>
  <w:style w:type="character" w:customStyle="1" w:styleId="CommentSubjectChar">
    <w:name w:val="Comment Subject Char"/>
    <w:basedOn w:val="CommentTextChar"/>
    <w:qFormat/>
    <w:rPr>
      <w:b/>
      <w:bCs/>
      <w:sz w:val="20"/>
      <w:szCs w:val="20"/>
    </w:rPr>
  </w:style>
  <w:style w:type="character" w:customStyle="1" w:styleId="Heading1Char">
    <w:name w:val="Heading 1 Char"/>
    <w:basedOn w:val="DefaultParagraphFontWWWW"/>
    <w:qFormat/>
    <w:rPr>
      <w:rFonts w:ascii="Calibri Light" w:eastAsia="Calibri" w:hAnsi="Calibri Light" w:cs="Tahoma"/>
      <w:color w:val="2E74B5"/>
      <w:sz w:val="32"/>
      <w:szCs w:val="32"/>
    </w:rPr>
  </w:style>
  <w:style w:type="character" w:customStyle="1" w:styleId="BalloonTextChar">
    <w:name w:val="Balloon Text Char"/>
    <w:basedOn w:val="DefaultParagraphFontWWWW"/>
    <w:qFormat/>
    <w:rPr>
      <w:rFonts w:ascii="Segoe UI" w:eastAsia="Segoe UI" w:hAnsi="Segoe UI" w:cs="Segoe UI"/>
      <w:sz w:val="18"/>
      <w:szCs w:val="18"/>
    </w:rPr>
  </w:style>
  <w:style w:type="character" w:customStyle="1" w:styleId="FootnoteTextChar">
    <w:name w:val="Footnote Text Char"/>
    <w:basedOn w:val="DefaultParagraphFontWWWW"/>
    <w:qFormat/>
    <w:rPr>
      <w:sz w:val="20"/>
      <w:szCs w:val="20"/>
    </w:rPr>
  </w:style>
  <w:style w:type="character" w:customStyle="1" w:styleId="FootnoteSymbolWW">
    <w:name w:val="Footnote Symbol (WW)"/>
    <w:qFormat/>
    <w:rPr>
      <w:vertAlign w:val="superscript"/>
    </w:rPr>
  </w:style>
  <w:style w:type="character" w:styleId="Fodnotehenvisning">
    <w:name w:val="footnote reference"/>
    <w:rPr>
      <w:vertAlign w:val="superscript"/>
    </w:rPr>
  </w:style>
  <w:style w:type="character" w:customStyle="1" w:styleId="LinenumberingWW">
    <w:name w:val="Line numbering (WW)"/>
    <w:qFormat/>
  </w:style>
  <w:style w:type="character" w:customStyle="1" w:styleId="Internetlink">
    <w:name w:val="Internet link"/>
    <w:qFormat/>
    <w:rPr>
      <w:color w:val="000080"/>
      <w:u w:val="single"/>
    </w:rPr>
  </w:style>
  <w:style w:type="character" w:styleId="Hyperlink">
    <w:name w:val="Hyperlink"/>
    <w:rPr>
      <w:color w:val="000080"/>
      <w:u w:val="single"/>
    </w:rPr>
  </w:style>
  <w:style w:type="character" w:styleId="Linjenummer">
    <w:name w:val="line number"/>
  </w:style>
  <w:style w:type="paragraph" w:customStyle="1" w:styleId="Heading">
    <w:name w:val="Heading"/>
    <w:basedOn w:val="StandardWW"/>
    <w:next w:val="TextbodyWW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rdtekst">
    <w:name w:val="Body Text"/>
    <w:basedOn w:val="Normal"/>
    <w:pPr>
      <w:spacing w:after="140" w:line="276" w:lineRule="auto"/>
    </w:pPr>
  </w:style>
  <w:style w:type="paragraph" w:styleId="Liste">
    <w:name w:val="List"/>
    <w:basedOn w:val="TextbodyWW"/>
    <w:rPr>
      <w:rFonts w:cs="Lucida Sans"/>
    </w:rPr>
  </w:style>
  <w:style w:type="paragraph" w:styleId="Billedtekst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StandardWW"/>
    <w:qFormat/>
    <w:pPr>
      <w:suppressLineNumbers/>
    </w:pPr>
    <w:rPr>
      <w:rFonts w:cs="Lucida Sans"/>
    </w:rPr>
  </w:style>
  <w:style w:type="paragraph" w:customStyle="1" w:styleId="Standard">
    <w:name w:val="Standard"/>
    <w:qFormat/>
    <w:pPr>
      <w:widowControl w:val="0"/>
      <w:textAlignment w:val="baseline"/>
    </w:pPr>
  </w:style>
  <w:style w:type="paragraph" w:customStyle="1" w:styleId="Textbody">
    <w:name w:val="Text body"/>
    <w:basedOn w:val="Standard"/>
    <w:qFormat/>
    <w:pPr>
      <w:spacing w:after="140" w:line="276" w:lineRule="auto"/>
    </w:pPr>
  </w:style>
  <w:style w:type="paragraph" w:customStyle="1" w:styleId="caption1">
    <w:name w:val="caption1"/>
    <w:basedOn w:val="StandardWW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StandardWW">
    <w:name w:val="Standard (WW)"/>
    <w:qFormat/>
    <w:pPr>
      <w:spacing w:after="160" w:line="259" w:lineRule="auto"/>
      <w:textAlignment w:val="baseline"/>
    </w:pPr>
    <w:rPr>
      <w:rFonts w:ascii="Garamond" w:eastAsia="Garamond" w:hAnsi="Garamond" w:cs="Garamond"/>
      <w:sz w:val="26"/>
    </w:rPr>
  </w:style>
  <w:style w:type="paragraph" w:customStyle="1" w:styleId="TextbodyWW">
    <w:name w:val="Text body (WW)"/>
    <w:basedOn w:val="StandardWW"/>
    <w:qFormat/>
    <w:pPr>
      <w:spacing w:after="140" w:line="276" w:lineRule="auto"/>
    </w:pPr>
  </w:style>
  <w:style w:type="paragraph" w:customStyle="1" w:styleId="HeaderandFooter">
    <w:name w:val="Header and Footer"/>
    <w:basedOn w:val="StandardWW"/>
    <w:qFormat/>
  </w:style>
  <w:style w:type="paragraph" w:styleId="Sidehoved">
    <w:name w:val="header"/>
    <w:basedOn w:val="StandardWW"/>
    <w:pPr>
      <w:tabs>
        <w:tab w:val="center" w:pos="4513"/>
        <w:tab w:val="right" w:pos="9026"/>
      </w:tabs>
      <w:spacing w:after="0" w:line="240" w:lineRule="auto"/>
    </w:pPr>
  </w:style>
  <w:style w:type="paragraph" w:styleId="Sidefod">
    <w:name w:val="footer"/>
    <w:basedOn w:val="StandardWW"/>
    <w:pPr>
      <w:tabs>
        <w:tab w:val="center" w:pos="4513"/>
        <w:tab w:val="right" w:pos="9026"/>
      </w:tabs>
      <w:spacing w:after="0" w:line="240" w:lineRule="auto"/>
    </w:pPr>
  </w:style>
  <w:style w:type="paragraph" w:styleId="Korrektur">
    <w:name w:val="Revision"/>
    <w:qFormat/>
    <w:pPr>
      <w:textAlignment w:val="baseline"/>
    </w:pPr>
  </w:style>
  <w:style w:type="paragraph" w:styleId="Kommentartekst">
    <w:name w:val="annotation text"/>
    <w:basedOn w:val="StandardWW"/>
    <w:qFormat/>
    <w:pPr>
      <w:spacing w:line="240" w:lineRule="auto"/>
    </w:pPr>
    <w:rPr>
      <w:sz w:val="20"/>
      <w:szCs w:val="20"/>
    </w:rPr>
  </w:style>
  <w:style w:type="paragraph" w:styleId="Kommentaremne">
    <w:name w:val="annotation subject"/>
    <w:basedOn w:val="Kommentartekst"/>
    <w:next w:val="Kommentartekst"/>
    <w:qFormat/>
    <w:rPr>
      <w:b/>
      <w:bCs/>
    </w:rPr>
  </w:style>
  <w:style w:type="paragraph" w:styleId="Markeringsbobletekst">
    <w:name w:val="Balloon Text"/>
    <w:basedOn w:val="StandardWW"/>
    <w:qFormat/>
    <w:pPr>
      <w:spacing w:after="0" w:line="240" w:lineRule="auto"/>
    </w:pPr>
    <w:rPr>
      <w:rFonts w:ascii="Segoe UI" w:eastAsia="Segoe UI" w:hAnsi="Segoe UI" w:cs="Segoe UI"/>
      <w:sz w:val="18"/>
      <w:szCs w:val="18"/>
    </w:rPr>
  </w:style>
  <w:style w:type="paragraph" w:customStyle="1" w:styleId="FootnoteWW">
    <w:name w:val="Footnote (WW)"/>
    <w:basedOn w:val="StandardWW"/>
    <w:qFormat/>
    <w:pPr>
      <w:spacing w:after="0" w:line="240" w:lineRule="auto"/>
    </w:pPr>
    <w:rPr>
      <w:sz w:val="20"/>
      <w:szCs w:val="20"/>
    </w:rPr>
  </w:style>
  <w:style w:type="paragraph" w:customStyle="1" w:styleId="xmsonormal">
    <w:name w:val="x_msonormal"/>
    <w:basedOn w:val="StandardWW"/>
    <w:qFormat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paragraph" w:customStyle="1" w:styleId="xmsolistparagraph">
    <w:name w:val="x_msolistparagraph"/>
    <w:basedOn w:val="StandardWW"/>
    <w:qFormat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paragraph" w:styleId="Listeafsnit">
    <w:name w:val="List Paragraph"/>
    <w:basedOn w:val="StandardWW"/>
    <w:qFormat/>
    <w:pPr>
      <w:ind w:left="720"/>
      <w:contextualSpacing/>
    </w:pPr>
  </w:style>
  <w:style w:type="paragraph" w:customStyle="1" w:styleId="TableContents">
    <w:name w:val="Table Contents"/>
    <w:basedOn w:val="StandardWW"/>
    <w:qFormat/>
    <w:pPr>
      <w:widowControl w:val="0"/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numbering" w:customStyle="1" w:styleId="NoListWW">
    <w:name w:val="No List (WW)"/>
    <w:qFormat/>
  </w:style>
  <w:style w:type="numbering" w:customStyle="1" w:styleId="NoListWWWW">
    <w:name w:val="No List (WW) (WW)"/>
    <w:qFormat/>
  </w:style>
  <w:style w:type="table" w:styleId="Tabel-Gitter">
    <w:name w:val="Table Grid"/>
    <w:basedOn w:val="Tabel-Normal"/>
    <w:uiPriority w:val="39"/>
    <w:rsid w:val="002F70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832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https://www.retsinformation.dk/eli/retsinfo/2022/9250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retsinformation.dk/eli/retsinfo/2022/9249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s://www.retsinformation.dk/eli/retsinfo/2022/9248" TargetMode="External"/><Relationship Id="rId4" Type="http://schemas.openxmlformats.org/officeDocument/2006/relationships/styles" Target="styles.xml"/><Relationship Id="rId9" Type="http://schemas.openxmlformats.org/officeDocument/2006/relationships/hyperlink" Target="https://www.retsinformation.dk/eli/lta/2021/1436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BWSC">
      <a:dk1>
        <a:srgbClr val="000000"/>
      </a:dk1>
      <a:lt1>
        <a:srgbClr val="FFFFFF"/>
      </a:lt1>
      <a:dk2>
        <a:srgbClr val="3A698B"/>
      </a:dk2>
      <a:lt2>
        <a:srgbClr val="808080"/>
      </a:lt2>
      <a:accent1>
        <a:srgbClr val="005496"/>
      </a:accent1>
      <a:accent2>
        <a:srgbClr val="21374B"/>
      </a:accent2>
      <a:accent3>
        <a:srgbClr val="00B0F0"/>
      </a:accent3>
      <a:accent4>
        <a:srgbClr val="008691"/>
      </a:accent4>
      <a:accent5>
        <a:srgbClr val="38A669"/>
      </a:accent5>
      <a:accent6>
        <a:srgbClr val="E0830D"/>
      </a:accent6>
      <a:hlink>
        <a:srgbClr val="005496"/>
      </a:hlink>
      <a:folHlink>
        <a:srgbClr val="808080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AFD09706572E44DBA2B7B3E15B20300" ma:contentTypeVersion="18" ma:contentTypeDescription="Create a new document." ma:contentTypeScope="" ma:versionID="48ed786832e3797832a0433638a262c9">
  <xsd:schema xmlns:xsd="http://www.w3.org/2001/XMLSchema" xmlns:xs="http://www.w3.org/2001/XMLSchema" xmlns:p="http://schemas.microsoft.com/office/2006/metadata/properties" xmlns:ns2="3a2acf82-2c1d-4f6d-acee-f2708bed9626" xmlns:ns3="ff9435b8-ce3a-40ef-89fe-73343b63c2f7" targetNamespace="http://schemas.microsoft.com/office/2006/metadata/properties" ma:root="true" ma:fieldsID="02bf8a451d155bebfbd6472db814cb7e" ns2:_="" ns3:_="">
    <xsd:import namespace="3a2acf82-2c1d-4f6d-acee-f2708bed9626"/>
    <xsd:import namespace="ff9435b8-ce3a-40ef-89fe-73343b63c2f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2acf82-2c1d-4f6d-acee-f2708bed962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edd85dcc-d5fa-408e-a42f-cb98906050e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9435b8-ce3a-40ef-89fe-73343b63c2f7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0b590a2-5a1d-4295-97eb-68fded728e4e}" ma:internalName="TaxCatchAll" ma:showField="CatchAllData" ma:web="ff9435b8-ce3a-40ef-89fe-73343b63c2f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B9A1245-28E7-4758-8A4E-38E0E13DE5C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FB2598D-8717-4871-A943-46E9AD79BF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a2acf82-2c1d-4f6d-acee-f2708bed9626"/>
    <ds:schemaRef ds:uri="ff9435b8-ce3a-40ef-89fe-73343b63c2f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165</TotalTime>
  <Pages>4</Pages>
  <Words>511</Words>
  <Characters>3120</Characters>
  <Application>Microsoft Office Word</Application>
  <DocSecurity>0</DocSecurity>
  <Lines>26</Lines>
  <Paragraphs>7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Ida Stube Holst</dc:creator>
  <cp:lastModifiedBy>Gertrud Rex Baungaard</cp:lastModifiedBy>
  <cp:revision>11</cp:revision>
  <dcterms:created xsi:type="dcterms:W3CDTF">2025-10-27T11:04:00Z</dcterms:created>
  <dcterms:modified xsi:type="dcterms:W3CDTF">2025-12-18T09:07:00Z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contentStatus>Final</cp:contentStatus>
  <dcterms:created xsi:type="dcterms:W3CDTF">2023-11-21T19:44:00Z</dcterms:created>
  <dc:creator>Lars Wriedt</dc:creator>
  <dc:description/>
  <dc:language>da-DK</dc:language>
  <cp:lastModifiedBy>Lars</cp:lastModifiedBy>
  <dcterms:modified xsi:type="dcterms:W3CDTF">2024-08-21T19:14:40Z</dcterms:modified>
  <cp:revision>19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XDocumentID">
    <vt:lpwstr/>
  </property>
</Properties>
</file>